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</w:pPr>
      <w:r w:rsidRPr="003E0A3E"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  <w:t>Código de Conduta</w:t>
      </w:r>
      <w:r w:rsidR="001D6DB3"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  <w:t xml:space="preserve"> do</w:t>
      </w:r>
    </w:p>
    <w:p w:rsidR="001D6DB3" w:rsidRPr="003E0A3E" w:rsidRDefault="001D6DB3" w:rsidP="001D6DB3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</w:pPr>
      <w:r w:rsidRPr="003E0A3E"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  <w:t xml:space="preserve">Fornecedor </w:t>
      </w:r>
    </w:p>
    <w:p w:rsidR="001D6DB3" w:rsidRPr="003E0A3E" w:rsidRDefault="001D6DB3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pt-BR"/>
        </w:rPr>
      </w:pPr>
    </w:p>
    <w:p w:rsidR="00DF7C9F" w:rsidRPr="003E0A3E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  <w:lang w:val="pt-BR"/>
        </w:rPr>
      </w:pPr>
      <w:r w:rsidRPr="003E0A3E">
        <w:rPr>
          <w:rFonts w:asciiTheme="minorHAnsi" w:hAnsiTheme="minorHAnsi" w:cstheme="minorHAnsi"/>
          <w:b/>
          <w:color w:val="FFFFFF"/>
          <w:spacing w:val="-1"/>
          <w:sz w:val="50"/>
          <w:lang w:val="pt-BR"/>
        </w:rPr>
        <w:t>2020</w:t>
      </w:r>
    </w:p>
    <w:p w:rsidR="00DF7C9F" w:rsidRPr="003E0A3E" w:rsidRDefault="00DF7C9F" w:rsidP="00DF7C9F">
      <w:pPr>
        <w:jc w:val="right"/>
        <w:rPr>
          <w:rFonts w:asciiTheme="minorHAnsi" w:hAnsiTheme="minorHAnsi" w:cstheme="minorHAnsi"/>
          <w:sz w:val="50"/>
          <w:lang w:val="pt-BR"/>
        </w:rPr>
        <w:sectPr w:rsidR="00DF7C9F" w:rsidRPr="003E0A3E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3E0A3E" w:rsidRDefault="00AE3F23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pt-BR"/>
        </w:rPr>
      </w:pPr>
      <w:r w:rsidRPr="003E0A3E">
        <w:rPr>
          <w:rFonts w:asciiTheme="minorHAnsi" w:hAnsiTheme="minorHAnsi" w:cstheme="minorHAnsi"/>
          <w:sz w:val="36"/>
          <w:szCs w:val="28"/>
          <w:lang w:val="pt-BR"/>
        </w:rPr>
        <w:lastRenderedPageBreak/>
        <w:t>Finalidade e Resumo</w:t>
      </w:r>
    </w:p>
    <w:p w:rsidR="00840129" w:rsidRPr="003E0A3E" w:rsidRDefault="00840129" w:rsidP="00840129">
      <w:pPr>
        <w:pStyle w:val="Standardeinzug"/>
        <w:rPr>
          <w:rFonts w:asciiTheme="minorHAnsi" w:hAnsiTheme="minorHAnsi" w:cstheme="minorHAnsi"/>
          <w:lang w:val="pt-BR"/>
        </w:rPr>
      </w:pPr>
    </w:p>
    <w:p w:rsidR="00EA575E" w:rsidRPr="003E0A3E" w:rsidRDefault="00EA575E" w:rsidP="00EA575E">
      <w:pPr>
        <w:pStyle w:val="Default"/>
        <w:jc w:val="both"/>
        <w:rPr>
          <w:sz w:val="22"/>
          <w:szCs w:val="22"/>
          <w:lang w:val="pt-BR"/>
        </w:rPr>
      </w:pPr>
      <w:proofErr w:type="spellStart"/>
      <w:r w:rsidRPr="003E0A3E">
        <w:rPr>
          <w:sz w:val="22"/>
          <w:szCs w:val="22"/>
          <w:lang w:val="pt-BR"/>
        </w:rPr>
        <w:t>allnex</w:t>
      </w:r>
      <w:proofErr w:type="spellEnd"/>
      <w:r w:rsidRPr="003E0A3E">
        <w:rPr>
          <w:sz w:val="22"/>
          <w:szCs w:val="22"/>
          <w:lang w:val="pt-BR"/>
        </w:rPr>
        <w:t xml:space="preserve"> está empenhada em fazer negócios de forma ética e responsável e espera o mesmo dos seus fornecedores. Em apoio a este compromisso, </w:t>
      </w:r>
      <w:proofErr w:type="spellStart"/>
      <w:r w:rsidRPr="003E0A3E">
        <w:rPr>
          <w:sz w:val="22"/>
          <w:szCs w:val="22"/>
          <w:lang w:val="pt-BR"/>
        </w:rPr>
        <w:t>allnex</w:t>
      </w:r>
      <w:proofErr w:type="spellEnd"/>
      <w:r w:rsidRPr="003E0A3E">
        <w:rPr>
          <w:sz w:val="22"/>
          <w:szCs w:val="22"/>
          <w:lang w:val="pt-BR"/>
        </w:rPr>
        <w:t xml:space="preserve"> desenvolveu um Código de Conduta do Fornecedor para transmitir as suas expectativas aos seus fornecedores no que diz respeito ao cumprimento das leis, integridade empresarial, saúde, segurança e </w:t>
      </w:r>
      <w:proofErr w:type="spellStart"/>
      <w:r w:rsidRPr="003E0A3E">
        <w:rPr>
          <w:sz w:val="22"/>
          <w:szCs w:val="22"/>
          <w:lang w:val="pt-BR"/>
        </w:rPr>
        <w:t>protecção</w:t>
      </w:r>
      <w:proofErr w:type="spellEnd"/>
      <w:r w:rsidRPr="003E0A3E">
        <w:rPr>
          <w:sz w:val="22"/>
          <w:szCs w:val="22"/>
          <w:lang w:val="pt-BR"/>
        </w:rPr>
        <w:t xml:space="preserve"> ambiental, respeito dos direitos humanos e sustentabilidade. </w:t>
      </w:r>
    </w:p>
    <w:p w:rsidR="00AE3F23" w:rsidRPr="003E0A3E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pt-BR"/>
        </w:rPr>
      </w:pPr>
    </w:p>
    <w:p w:rsidR="00AE3F23" w:rsidRPr="003E0A3E" w:rsidRDefault="00EA575E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pt-BR"/>
        </w:rPr>
      </w:pPr>
      <w:proofErr w:type="spellStart"/>
      <w:r w:rsidRPr="003E0A3E">
        <w:rPr>
          <w:rFonts w:asciiTheme="minorHAnsi" w:hAnsiTheme="minorHAnsi" w:cstheme="minorHAnsi"/>
          <w:sz w:val="36"/>
          <w:szCs w:val="28"/>
          <w:lang w:val="pt-BR"/>
        </w:rPr>
        <w:t>allnex</w:t>
      </w:r>
      <w:proofErr w:type="spellEnd"/>
      <w:r w:rsidRPr="003E0A3E">
        <w:rPr>
          <w:rFonts w:asciiTheme="minorHAnsi" w:hAnsiTheme="minorHAnsi" w:cstheme="minorHAnsi"/>
          <w:sz w:val="36"/>
          <w:szCs w:val="28"/>
          <w:lang w:val="pt-BR"/>
        </w:rPr>
        <w:t xml:space="preserve"> Código de Conduta do Fornecedor</w:t>
      </w:r>
    </w:p>
    <w:p w:rsidR="00840129" w:rsidRPr="00586993" w:rsidRDefault="00840129" w:rsidP="00840129">
      <w:pPr>
        <w:pStyle w:val="Standardeinzug"/>
        <w:rPr>
          <w:rFonts w:asciiTheme="minorHAnsi" w:hAnsiTheme="minorHAnsi" w:cstheme="minorHAnsi"/>
          <w:lang w:val="pt-BR"/>
        </w:rPr>
      </w:pPr>
    </w:p>
    <w:p w:rsidR="00EA575E" w:rsidRPr="00586993" w:rsidRDefault="00EA575E" w:rsidP="00EA575E">
      <w:pPr>
        <w:pStyle w:val="Default"/>
        <w:jc w:val="both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Os fornecedores, vendedores, empreiteiros, consultores e outros fornecedores de bens e serviços que fazem negócios com todas as entidades do </w:t>
      </w:r>
      <w:r w:rsidR="003E0A3E" w:rsidRPr="00586993">
        <w:rPr>
          <w:color w:val="auto"/>
          <w:sz w:val="22"/>
          <w:szCs w:val="22"/>
          <w:lang w:val="pt-BR"/>
        </w:rPr>
        <w:t>grupo</w:t>
      </w:r>
      <w:r w:rsidRPr="00586993">
        <w:rPr>
          <w:color w:val="auto"/>
          <w:sz w:val="22"/>
          <w:szCs w:val="22"/>
          <w:lang w:val="pt-BR"/>
        </w:rPr>
        <w:t xml:space="preserve"> em todo o mundo devem aderir aos princípios deste Código de Fornecedores e tomar as medidas apropriadas para assegurar o seu cumprimento.</w:t>
      </w:r>
    </w:p>
    <w:p w:rsidR="00EA575E" w:rsidRPr="00586993" w:rsidRDefault="00EA575E" w:rsidP="00EA575E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915677" w:rsidRPr="00586993" w:rsidRDefault="00EA575E" w:rsidP="00EA575E">
      <w:pPr>
        <w:pStyle w:val="Default"/>
        <w:spacing w:after="182"/>
        <w:ind w:left="705" w:hanging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1.) </w:t>
      </w:r>
      <w:r w:rsidRPr="00586993">
        <w:rPr>
          <w:color w:val="auto"/>
          <w:sz w:val="22"/>
          <w:szCs w:val="22"/>
          <w:lang w:val="pt-BR"/>
        </w:rPr>
        <w:tab/>
      </w:r>
      <w:r w:rsidRPr="00586993">
        <w:rPr>
          <w:b/>
          <w:bCs/>
          <w:color w:val="auto"/>
          <w:sz w:val="22"/>
          <w:szCs w:val="22"/>
          <w:lang w:val="pt-BR"/>
        </w:rPr>
        <w:t xml:space="preserve">Agir em conformidade com as leis.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Os fornecedores devem manter o conhecimento e cumprir todas as leis e regulamentos aplicáveis dos países onde operam, incluindo - quando aplicável - leis </w:t>
      </w:r>
      <w:proofErr w:type="spellStart"/>
      <w:r w:rsidRPr="00586993">
        <w:rPr>
          <w:color w:val="auto"/>
          <w:sz w:val="22"/>
          <w:szCs w:val="22"/>
          <w:lang w:val="pt-BR"/>
        </w:rPr>
        <w:t>anti-corrupção</w:t>
      </w:r>
      <w:proofErr w:type="spellEnd"/>
      <w:r w:rsidRPr="00586993">
        <w:rPr>
          <w:color w:val="auto"/>
          <w:sz w:val="22"/>
          <w:szCs w:val="22"/>
          <w:lang w:val="pt-BR"/>
        </w:rPr>
        <w:t>, regulamentos aduaneiros, leis de exportação e de control</w:t>
      </w:r>
      <w:r w:rsidR="003E0A3E" w:rsidRPr="00586993">
        <w:rPr>
          <w:color w:val="auto"/>
          <w:sz w:val="22"/>
          <w:szCs w:val="22"/>
          <w:lang w:val="pt-BR"/>
        </w:rPr>
        <w:t>e</w:t>
      </w:r>
      <w:r w:rsidRPr="00586993">
        <w:rPr>
          <w:color w:val="auto"/>
          <w:sz w:val="22"/>
          <w:szCs w:val="22"/>
          <w:lang w:val="pt-BR"/>
        </w:rPr>
        <w:t xml:space="preserve"> do comércio</w:t>
      </w:r>
      <w:r w:rsidRPr="003E0A3E">
        <w:rPr>
          <w:sz w:val="22"/>
          <w:szCs w:val="22"/>
          <w:lang w:val="pt-BR"/>
        </w:rPr>
        <w:t>, e leis de comércio justo e de concorrência.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2.) 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Fazer negócios de forma ética.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Os fornecedores não devem pagar subornos, </w:t>
      </w:r>
      <w:proofErr w:type="spellStart"/>
      <w:r w:rsidRPr="003E0A3E">
        <w:rPr>
          <w:sz w:val="22"/>
          <w:szCs w:val="22"/>
          <w:lang w:val="pt-BR"/>
        </w:rPr>
        <w:t>fornecer</w:t>
      </w:r>
      <w:proofErr w:type="spellEnd"/>
      <w:r w:rsidRPr="003E0A3E">
        <w:rPr>
          <w:sz w:val="22"/>
          <w:szCs w:val="22"/>
          <w:lang w:val="pt-BR"/>
        </w:rPr>
        <w:t xml:space="preserve"> subornos ou dar qualquer coisa de valor para garantir negócios ou qualquer vantagem comercial.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3.) 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Evitar presentes, refeições e entretenimento inadequados.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Os fornecedores não devem fornecer ou oferecer presentes, refeições ou entretenimento que possam (ou possam parecer) influenciar de forma inadequada uma decisão comercial.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4.)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Demonstrar respeito pelas pessoas.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Os fornecedores devem procurar empregar uma mão-de-obra diversificada, proporcionar um local de trabalho livre de discriminação e assédio, e tratar os empregados de forma justa, incluindo no que diz respeito a salários, horário de trabalho, benefícios e condições de trabalho. Os empregados e parceiros de negócios devem sentir-se valorizados e respeitados pelas suas contribuições.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5.)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Respeitar os direitos humanos fundamentais.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Os fornecedores </w:t>
      </w:r>
      <w:r w:rsidR="0021087D" w:rsidRPr="003E0A3E">
        <w:rPr>
          <w:sz w:val="22"/>
          <w:szCs w:val="22"/>
          <w:lang w:val="pt-BR"/>
        </w:rPr>
        <w:t xml:space="preserve">devem </w:t>
      </w:r>
      <w:r w:rsidRPr="003E0A3E">
        <w:rPr>
          <w:sz w:val="22"/>
          <w:szCs w:val="22"/>
          <w:lang w:val="pt-BR"/>
        </w:rPr>
        <w:t xml:space="preserve">tratar e empregar os seus trabalhadores com respeito pelos Direitos Humanos, incluindo a Declaração Universal dos Direitos Humanos das Nações Unidas , </w:t>
      </w:r>
      <w:r w:rsidR="00DE2BE9" w:rsidRPr="003E0A3E">
        <w:rPr>
          <w:sz w:val="22"/>
          <w:szCs w:val="22"/>
          <w:lang w:val="pt-BR"/>
        </w:rPr>
        <w:t xml:space="preserve">as </w:t>
      </w:r>
      <w:r w:rsidRPr="003E0A3E">
        <w:rPr>
          <w:sz w:val="22"/>
          <w:szCs w:val="22"/>
          <w:lang w:val="pt-BR"/>
        </w:rPr>
        <w:t xml:space="preserve">Convenções Fundamentais da Organização Internacional do Trabalho (OIT), bem como </w:t>
      </w:r>
      <w:r w:rsidR="00DE2BE9" w:rsidRPr="003E0A3E">
        <w:rPr>
          <w:sz w:val="22"/>
          <w:szCs w:val="22"/>
          <w:lang w:val="pt-BR"/>
        </w:rPr>
        <w:t xml:space="preserve">cumprir os requisitos regulamentares locais em relação ao tráfico de seres humanos e à escravatura. </w:t>
      </w:r>
      <w:r w:rsidRPr="003E0A3E">
        <w:rPr>
          <w:sz w:val="22"/>
          <w:szCs w:val="22"/>
          <w:lang w:val="pt-BR"/>
        </w:rPr>
        <w:t xml:space="preserve">Os fornecedores </w:t>
      </w:r>
      <w:r w:rsidR="0021087D" w:rsidRPr="003E0A3E">
        <w:rPr>
          <w:sz w:val="22"/>
          <w:szCs w:val="22"/>
          <w:lang w:val="pt-BR"/>
        </w:rPr>
        <w:t xml:space="preserve">devem ter </w:t>
      </w:r>
      <w:r w:rsidRPr="003E0A3E">
        <w:rPr>
          <w:sz w:val="22"/>
          <w:szCs w:val="22"/>
          <w:lang w:val="pt-BR"/>
        </w:rPr>
        <w:t xml:space="preserve">uma política documentada para prevenir eficazmente o </w:t>
      </w:r>
      <w:r w:rsidR="00915677" w:rsidRPr="003E0A3E">
        <w:rPr>
          <w:sz w:val="22"/>
          <w:szCs w:val="22"/>
          <w:lang w:val="pt-BR"/>
        </w:rPr>
        <w:t xml:space="preserve">trabalho </w:t>
      </w:r>
      <w:r w:rsidRPr="003E0A3E">
        <w:rPr>
          <w:sz w:val="22"/>
          <w:szCs w:val="22"/>
          <w:lang w:val="pt-BR"/>
        </w:rPr>
        <w:t>infantil</w:t>
      </w:r>
      <w:r w:rsidR="00DE2BE9" w:rsidRPr="003E0A3E">
        <w:rPr>
          <w:sz w:val="22"/>
          <w:szCs w:val="22"/>
          <w:lang w:val="pt-BR"/>
        </w:rPr>
        <w:t xml:space="preserve">, o tráfico de seres humanos e a escravatura </w:t>
      </w:r>
      <w:r w:rsidRPr="003E0A3E">
        <w:rPr>
          <w:sz w:val="22"/>
          <w:szCs w:val="22"/>
          <w:lang w:val="pt-BR"/>
        </w:rPr>
        <w:t xml:space="preserve">sob qualquer forma durante as </w:t>
      </w:r>
      <w:r w:rsidRPr="003E0A3E">
        <w:rPr>
          <w:sz w:val="22"/>
          <w:szCs w:val="22"/>
          <w:lang w:val="pt-BR"/>
        </w:rPr>
        <w:lastRenderedPageBreak/>
        <w:t xml:space="preserve">suas </w:t>
      </w:r>
      <w:proofErr w:type="spellStart"/>
      <w:r w:rsidRPr="003E0A3E">
        <w:rPr>
          <w:sz w:val="22"/>
          <w:szCs w:val="22"/>
          <w:lang w:val="pt-BR"/>
        </w:rPr>
        <w:t>actividades</w:t>
      </w:r>
      <w:proofErr w:type="spellEnd"/>
      <w:r w:rsidRPr="003E0A3E">
        <w:rPr>
          <w:sz w:val="22"/>
          <w:szCs w:val="22"/>
          <w:lang w:val="pt-BR"/>
        </w:rPr>
        <w:t xml:space="preserve"> e para assegurar que </w:t>
      </w:r>
      <w:r w:rsidR="00DE2BE9" w:rsidRPr="003E0A3E">
        <w:rPr>
          <w:sz w:val="22"/>
          <w:szCs w:val="22"/>
          <w:lang w:val="pt-BR"/>
        </w:rPr>
        <w:t xml:space="preserve">qualquer </w:t>
      </w:r>
      <w:r w:rsidR="00915677" w:rsidRPr="003E0A3E">
        <w:rPr>
          <w:sz w:val="22"/>
          <w:szCs w:val="22"/>
          <w:lang w:val="pt-BR"/>
        </w:rPr>
        <w:t xml:space="preserve">trabalho </w:t>
      </w:r>
      <w:r w:rsidRPr="003E0A3E">
        <w:rPr>
          <w:sz w:val="22"/>
          <w:szCs w:val="22"/>
          <w:lang w:val="pt-BR"/>
        </w:rPr>
        <w:t>infantil</w:t>
      </w:r>
      <w:r w:rsidR="00DE2BE9" w:rsidRPr="003E0A3E">
        <w:rPr>
          <w:sz w:val="22"/>
          <w:szCs w:val="22"/>
          <w:lang w:val="pt-BR"/>
        </w:rPr>
        <w:t xml:space="preserve">, tráfico de seres humanos e escravatura </w:t>
      </w:r>
      <w:r w:rsidRPr="003E0A3E">
        <w:rPr>
          <w:sz w:val="22"/>
          <w:szCs w:val="22"/>
          <w:lang w:val="pt-BR"/>
        </w:rPr>
        <w:t xml:space="preserve">identificado na empresa seja </w:t>
      </w:r>
      <w:proofErr w:type="spellStart"/>
      <w:r w:rsidR="00DE2BE9" w:rsidRPr="003E0A3E">
        <w:rPr>
          <w:sz w:val="22"/>
          <w:szCs w:val="22"/>
          <w:lang w:val="pt-BR"/>
        </w:rPr>
        <w:t>efectivamente</w:t>
      </w:r>
      <w:proofErr w:type="spellEnd"/>
      <w:r w:rsidR="00DE2BE9" w:rsidRPr="003E0A3E">
        <w:rPr>
          <w:sz w:val="22"/>
          <w:szCs w:val="22"/>
          <w:lang w:val="pt-BR"/>
        </w:rPr>
        <w:t xml:space="preserve"> eliminado </w:t>
      </w:r>
      <w:r w:rsidRPr="003E0A3E">
        <w:rPr>
          <w:sz w:val="22"/>
          <w:szCs w:val="22"/>
          <w:lang w:val="pt-BR"/>
        </w:rPr>
        <w:t xml:space="preserve">imediatamente. 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6.) 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Proporcionar um ambiente de trabalho seguro. </w:t>
      </w:r>
    </w:p>
    <w:p w:rsidR="00EA575E" w:rsidRPr="003E0A3E" w:rsidRDefault="00EA575E" w:rsidP="00915677">
      <w:pPr>
        <w:pStyle w:val="Default"/>
        <w:spacing w:after="182"/>
        <w:ind w:left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Os fornecedores devem proporcionar um ambiente de trabalho seguro, limpo e saudável que cumpra todas as leis, regras e regulamentos relevantes, e devem esforçar-se por prevenir lesões profissionais e incidentes de segurança.</w:t>
      </w:r>
    </w:p>
    <w:p w:rsidR="00915677" w:rsidRPr="003E0A3E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 xml:space="preserve">7.) </w:t>
      </w:r>
      <w:r w:rsidRPr="003E0A3E">
        <w:rPr>
          <w:sz w:val="22"/>
          <w:szCs w:val="22"/>
          <w:lang w:val="pt-BR"/>
        </w:rPr>
        <w:tab/>
      </w:r>
      <w:r w:rsidRPr="003E0A3E">
        <w:rPr>
          <w:b/>
          <w:bCs/>
          <w:sz w:val="22"/>
          <w:szCs w:val="22"/>
          <w:lang w:val="pt-BR"/>
        </w:rPr>
        <w:t xml:space="preserve">Cumprir os regulamentos ambientais. </w:t>
      </w:r>
    </w:p>
    <w:p w:rsidR="00EA575E" w:rsidRPr="00586993" w:rsidRDefault="00EA575E" w:rsidP="00915677">
      <w:pPr>
        <w:pStyle w:val="Default"/>
        <w:spacing w:after="182"/>
        <w:ind w:left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Os fornecedores devem conduzir os seus negócios de acordo com as leis ambientais, regulamentos e normas industriais aplicáveis e devem apoiar todos os esforços </w:t>
      </w:r>
      <w:r w:rsidR="0021087D" w:rsidRPr="00586993">
        <w:rPr>
          <w:color w:val="auto"/>
          <w:sz w:val="22"/>
          <w:szCs w:val="22"/>
          <w:lang w:val="pt-BR"/>
        </w:rPr>
        <w:t xml:space="preserve">do </w:t>
      </w:r>
      <w:r w:rsidR="003E0A3E" w:rsidRPr="00586993">
        <w:rPr>
          <w:color w:val="auto"/>
          <w:sz w:val="22"/>
          <w:szCs w:val="22"/>
          <w:lang w:val="pt-BR"/>
        </w:rPr>
        <w:t>grupo</w:t>
      </w:r>
      <w:r w:rsidRPr="00586993">
        <w:rPr>
          <w:color w:val="auto"/>
          <w:sz w:val="22"/>
          <w:szCs w:val="22"/>
          <w:lang w:val="pt-BR"/>
        </w:rPr>
        <w:t xml:space="preserve"> para operar de forma sustentável.</w:t>
      </w:r>
    </w:p>
    <w:p w:rsidR="00915677" w:rsidRPr="00586993" w:rsidRDefault="00EA575E" w:rsidP="00EA575E">
      <w:pPr>
        <w:pStyle w:val="Default"/>
        <w:spacing w:after="182"/>
        <w:ind w:left="705" w:hanging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>8.)</w:t>
      </w:r>
      <w:r w:rsidRPr="00586993">
        <w:rPr>
          <w:color w:val="auto"/>
          <w:sz w:val="22"/>
          <w:szCs w:val="22"/>
          <w:lang w:val="pt-BR"/>
        </w:rPr>
        <w:tab/>
      </w:r>
      <w:r w:rsidRPr="00586993">
        <w:rPr>
          <w:b/>
          <w:bCs/>
          <w:color w:val="auto"/>
          <w:sz w:val="22"/>
          <w:szCs w:val="22"/>
          <w:lang w:val="pt-BR"/>
        </w:rPr>
        <w:t>Manter livros e regist</w:t>
      </w:r>
      <w:r w:rsidR="001D6DB3" w:rsidRPr="00586993">
        <w:rPr>
          <w:b/>
          <w:bCs/>
          <w:color w:val="auto"/>
          <w:sz w:val="22"/>
          <w:szCs w:val="22"/>
          <w:lang w:val="pt-BR"/>
        </w:rPr>
        <w:t>r</w:t>
      </w:r>
      <w:r w:rsidRPr="00586993">
        <w:rPr>
          <w:b/>
          <w:bCs/>
          <w:color w:val="auto"/>
          <w:sz w:val="22"/>
          <w:szCs w:val="22"/>
          <w:lang w:val="pt-BR"/>
        </w:rPr>
        <w:t xml:space="preserve">os precisos. </w:t>
      </w:r>
    </w:p>
    <w:p w:rsidR="00EA575E" w:rsidRPr="00586993" w:rsidRDefault="00EA575E" w:rsidP="00915677">
      <w:pPr>
        <w:pStyle w:val="Default"/>
        <w:spacing w:after="182"/>
        <w:ind w:left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>Os fornecedores devem manter livros financeiros e regist</w:t>
      </w:r>
      <w:r w:rsidR="001D6DB3" w:rsidRPr="00586993">
        <w:rPr>
          <w:color w:val="auto"/>
          <w:sz w:val="22"/>
          <w:szCs w:val="22"/>
          <w:lang w:val="pt-BR"/>
        </w:rPr>
        <w:t>r</w:t>
      </w:r>
      <w:r w:rsidRPr="00586993">
        <w:rPr>
          <w:color w:val="auto"/>
          <w:sz w:val="22"/>
          <w:szCs w:val="22"/>
          <w:lang w:val="pt-BR"/>
        </w:rPr>
        <w:t>os comerciais precisos, conforme exigido pelos requisitos legais e regulamentares aplicáveis e pelas práticas contabilísticas aceit</w:t>
      </w:r>
      <w:r w:rsidR="001D6DB3" w:rsidRPr="00586993">
        <w:rPr>
          <w:color w:val="auto"/>
          <w:sz w:val="22"/>
          <w:szCs w:val="22"/>
          <w:lang w:val="pt-BR"/>
        </w:rPr>
        <w:t>áveis</w:t>
      </w:r>
      <w:r w:rsidRPr="00586993">
        <w:rPr>
          <w:color w:val="auto"/>
          <w:sz w:val="22"/>
          <w:szCs w:val="22"/>
          <w:lang w:val="pt-BR"/>
        </w:rPr>
        <w:t>.</w:t>
      </w:r>
    </w:p>
    <w:p w:rsidR="00915677" w:rsidRPr="00586993" w:rsidRDefault="00EA575E" w:rsidP="00EA575E">
      <w:pPr>
        <w:pStyle w:val="Default"/>
        <w:ind w:left="705" w:hanging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9.) </w:t>
      </w:r>
      <w:r w:rsidRPr="00586993">
        <w:rPr>
          <w:color w:val="auto"/>
          <w:sz w:val="22"/>
          <w:szCs w:val="22"/>
          <w:lang w:val="pt-BR"/>
        </w:rPr>
        <w:tab/>
      </w:r>
      <w:r w:rsidRPr="00586993">
        <w:rPr>
          <w:b/>
          <w:bCs/>
          <w:color w:val="auto"/>
          <w:sz w:val="22"/>
          <w:szCs w:val="22"/>
          <w:lang w:val="pt-BR"/>
        </w:rPr>
        <w:t xml:space="preserve">Gerir e proteger a informação. </w:t>
      </w:r>
    </w:p>
    <w:p w:rsidR="00EA575E" w:rsidRPr="00586993" w:rsidRDefault="00EA575E" w:rsidP="00915677">
      <w:pPr>
        <w:pStyle w:val="Default"/>
        <w:spacing w:before="240"/>
        <w:ind w:left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Os fornecedores devem tomar as medidas adequadas para proteger todas as informações de propriedade ou confidenciais do </w:t>
      </w:r>
      <w:r w:rsidR="001D6DB3" w:rsidRPr="00586993">
        <w:rPr>
          <w:color w:val="auto"/>
          <w:sz w:val="22"/>
          <w:szCs w:val="22"/>
          <w:lang w:val="pt-BR"/>
        </w:rPr>
        <w:t>grupo</w:t>
      </w:r>
      <w:r w:rsidRPr="00586993">
        <w:rPr>
          <w:color w:val="auto"/>
          <w:sz w:val="22"/>
          <w:szCs w:val="22"/>
          <w:lang w:val="pt-BR"/>
        </w:rPr>
        <w:t>, incluindo informações de empregados, dados de clientes, propriedade intelectual e segredos comerciais.</w:t>
      </w:r>
    </w:p>
    <w:p w:rsidR="00EA575E" w:rsidRPr="00586993" w:rsidRDefault="00EA575E" w:rsidP="00EA575E">
      <w:pPr>
        <w:pStyle w:val="Default"/>
        <w:ind w:left="705" w:hanging="705"/>
        <w:rPr>
          <w:color w:val="auto"/>
          <w:sz w:val="22"/>
          <w:szCs w:val="22"/>
          <w:lang w:val="pt-BR"/>
        </w:rPr>
      </w:pPr>
    </w:p>
    <w:p w:rsidR="00915677" w:rsidRPr="00586993" w:rsidRDefault="00EA575E" w:rsidP="00EA575E">
      <w:pPr>
        <w:pStyle w:val="Default"/>
        <w:ind w:left="705" w:hanging="705"/>
        <w:rPr>
          <w:b/>
          <w:bCs/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>10.)</w:t>
      </w:r>
      <w:r w:rsidRPr="00586993">
        <w:rPr>
          <w:color w:val="auto"/>
          <w:sz w:val="22"/>
          <w:szCs w:val="22"/>
          <w:lang w:val="pt-BR"/>
        </w:rPr>
        <w:tab/>
      </w:r>
      <w:r w:rsidRPr="00586993">
        <w:rPr>
          <w:b/>
          <w:bCs/>
          <w:color w:val="auto"/>
          <w:sz w:val="22"/>
          <w:szCs w:val="22"/>
          <w:lang w:val="pt-BR"/>
        </w:rPr>
        <w:t xml:space="preserve">Fornecer produtos e serviços que satisfaçam as normas de qualidade, saúde e segurança aplicáveis. </w:t>
      </w:r>
    </w:p>
    <w:p w:rsidR="00915677" w:rsidRPr="00586993" w:rsidRDefault="00915677" w:rsidP="00EA575E">
      <w:pPr>
        <w:pStyle w:val="Default"/>
        <w:ind w:left="705" w:hanging="705"/>
        <w:rPr>
          <w:color w:val="auto"/>
          <w:sz w:val="22"/>
          <w:szCs w:val="22"/>
          <w:lang w:val="pt-BR"/>
        </w:rPr>
      </w:pPr>
    </w:p>
    <w:p w:rsidR="00EA575E" w:rsidRPr="00586993" w:rsidRDefault="00EA575E" w:rsidP="00915677">
      <w:pPr>
        <w:pStyle w:val="Default"/>
        <w:ind w:left="705"/>
        <w:rPr>
          <w:color w:val="auto"/>
          <w:sz w:val="22"/>
          <w:szCs w:val="22"/>
          <w:lang w:val="pt-BR"/>
        </w:rPr>
      </w:pPr>
      <w:r w:rsidRPr="00586993">
        <w:rPr>
          <w:color w:val="auto"/>
          <w:sz w:val="22"/>
          <w:szCs w:val="22"/>
          <w:lang w:val="pt-BR"/>
        </w:rPr>
        <w:t xml:space="preserve">todos os fornecedores do </w:t>
      </w:r>
      <w:proofErr w:type="spellStart"/>
      <w:r w:rsidRPr="00586993">
        <w:rPr>
          <w:color w:val="auto"/>
          <w:sz w:val="22"/>
          <w:szCs w:val="22"/>
          <w:lang w:val="pt-BR"/>
        </w:rPr>
        <w:t>allnex</w:t>
      </w:r>
      <w:proofErr w:type="spellEnd"/>
      <w:r w:rsidRPr="00586993">
        <w:rPr>
          <w:color w:val="auto"/>
          <w:sz w:val="22"/>
          <w:szCs w:val="22"/>
          <w:lang w:val="pt-BR"/>
        </w:rPr>
        <w:t xml:space="preserve"> devem comunicar imediatamente a </w:t>
      </w:r>
      <w:proofErr w:type="spellStart"/>
      <w:r w:rsidRPr="00586993">
        <w:rPr>
          <w:color w:val="auto"/>
          <w:sz w:val="22"/>
          <w:szCs w:val="22"/>
          <w:lang w:val="pt-BR"/>
        </w:rPr>
        <w:t>allnex</w:t>
      </w:r>
      <w:proofErr w:type="spellEnd"/>
      <w:r w:rsidRPr="00586993">
        <w:rPr>
          <w:color w:val="auto"/>
          <w:sz w:val="22"/>
          <w:szCs w:val="22"/>
          <w:lang w:val="pt-BR"/>
        </w:rPr>
        <w:t xml:space="preserve"> os problemas que possam afetar negativamente a qualidade ou a percepção pública de um produto </w:t>
      </w:r>
      <w:proofErr w:type="spellStart"/>
      <w:r w:rsidRPr="00586993">
        <w:rPr>
          <w:color w:val="auto"/>
          <w:sz w:val="22"/>
          <w:szCs w:val="22"/>
          <w:lang w:val="pt-BR"/>
        </w:rPr>
        <w:t>allnex</w:t>
      </w:r>
      <w:proofErr w:type="spellEnd"/>
      <w:r w:rsidRPr="00586993">
        <w:rPr>
          <w:color w:val="auto"/>
          <w:sz w:val="22"/>
          <w:szCs w:val="22"/>
          <w:lang w:val="pt-BR"/>
        </w:rPr>
        <w:t xml:space="preserve">. </w:t>
      </w:r>
    </w:p>
    <w:p w:rsidR="00EA575E" w:rsidRPr="00586993" w:rsidRDefault="00EA575E" w:rsidP="00EA575E">
      <w:pPr>
        <w:pStyle w:val="Default"/>
        <w:ind w:left="705" w:hanging="705"/>
        <w:rPr>
          <w:color w:val="auto"/>
          <w:sz w:val="22"/>
          <w:szCs w:val="22"/>
          <w:lang w:val="pt-BR"/>
        </w:rPr>
      </w:pPr>
    </w:p>
    <w:p w:rsidR="00EA575E" w:rsidRPr="003E0A3E" w:rsidRDefault="00EA575E" w:rsidP="00EA575E">
      <w:pPr>
        <w:pStyle w:val="Default"/>
        <w:ind w:left="705" w:hanging="705"/>
        <w:rPr>
          <w:sz w:val="22"/>
          <w:szCs w:val="22"/>
          <w:lang w:val="pt-BR"/>
        </w:rPr>
      </w:pPr>
      <w:proofErr w:type="spellStart"/>
      <w:r w:rsidRPr="003E0A3E">
        <w:rPr>
          <w:sz w:val="22"/>
          <w:szCs w:val="22"/>
          <w:lang w:val="pt-BR"/>
        </w:rPr>
        <w:t>allnex</w:t>
      </w:r>
      <w:proofErr w:type="spellEnd"/>
      <w:r w:rsidRPr="003E0A3E">
        <w:rPr>
          <w:sz w:val="22"/>
          <w:szCs w:val="22"/>
          <w:lang w:val="pt-BR"/>
        </w:rPr>
        <w:t xml:space="preserve"> reserva-se o direito de rescindir qualquer acordo com qualquer fornecedor que não possa </w:t>
      </w:r>
    </w:p>
    <w:p w:rsidR="00EA575E" w:rsidRPr="003E0A3E" w:rsidRDefault="00EA575E" w:rsidP="00EA575E">
      <w:pPr>
        <w:pStyle w:val="Default"/>
        <w:ind w:left="705" w:hanging="705"/>
        <w:rPr>
          <w:sz w:val="22"/>
          <w:szCs w:val="22"/>
          <w:lang w:val="pt-BR"/>
        </w:rPr>
      </w:pPr>
      <w:r w:rsidRPr="003E0A3E">
        <w:rPr>
          <w:sz w:val="22"/>
          <w:szCs w:val="22"/>
          <w:lang w:val="pt-BR"/>
        </w:rPr>
        <w:t>demonstrar a conformidade com o Código de Conduta do Fornecedor.</w:t>
      </w:r>
    </w:p>
    <w:p w:rsidR="00EA575E" w:rsidRPr="003E0A3E" w:rsidRDefault="00EA575E" w:rsidP="00EA575E">
      <w:pPr>
        <w:pStyle w:val="Default"/>
        <w:spacing w:after="182"/>
        <w:rPr>
          <w:sz w:val="22"/>
          <w:szCs w:val="22"/>
          <w:lang w:val="pt-BR"/>
        </w:rPr>
      </w:pPr>
    </w:p>
    <w:p w:rsidR="00EA575E" w:rsidRPr="003E0A3E" w:rsidRDefault="00EA575E" w:rsidP="00EA575E">
      <w:pPr>
        <w:pStyle w:val="Default"/>
        <w:rPr>
          <w:sz w:val="22"/>
          <w:szCs w:val="22"/>
          <w:lang w:val="pt-BR"/>
        </w:rPr>
      </w:pPr>
    </w:p>
    <w:p w:rsidR="00F57E04" w:rsidRPr="003E0A3E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val="pt-BR" w:eastAsia="zh-CN"/>
        </w:rPr>
      </w:pPr>
      <w:bookmarkStart w:id="0" w:name="_GoBack"/>
      <w:bookmarkEnd w:id="0"/>
    </w:p>
    <w:sectPr w:rsidR="00F57E04" w:rsidRPr="003E0A3E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6B" w:rsidRDefault="00CE746B">
      <w:r>
        <w:separator/>
      </w:r>
    </w:p>
    <w:p w:rsidR="00CE746B" w:rsidRDefault="00CE746B"/>
  </w:endnote>
  <w:endnote w:type="continuationSeparator" w:id="0">
    <w:p w:rsidR="00CE746B" w:rsidRDefault="00CE746B">
      <w:r>
        <w:continuationSeparator/>
      </w:r>
    </w:p>
    <w:p w:rsidR="00CE746B" w:rsidRDefault="00CE746B"/>
  </w:endnote>
  <w:endnote w:type="continuationNotice" w:id="1">
    <w:p w:rsidR="00CE746B" w:rsidRDefault="00CE7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uzeile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6B" w:rsidRDefault="00CE746B">
      <w:r>
        <w:separator/>
      </w:r>
    </w:p>
    <w:p w:rsidR="00CE746B" w:rsidRDefault="00CE746B"/>
  </w:footnote>
  <w:footnote w:type="continuationSeparator" w:id="0">
    <w:p w:rsidR="00CE746B" w:rsidRDefault="00CE746B">
      <w:r>
        <w:continuationSeparator/>
      </w:r>
    </w:p>
    <w:p w:rsidR="00CE746B" w:rsidRDefault="00CE746B"/>
  </w:footnote>
  <w:footnote w:type="continuationNotice" w:id="1">
    <w:p w:rsidR="00CE746B" w:rsidRDefault="00CE7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42CF0"/>
    <w:rsid w:val="00047DAA"/>
    <w:rsid w:val="000561A6"/>
    <w:rsid w:val="00064087"/>
    <w:rsid w:val="0007054C"/>
    <w:rsid w:val="00076131"/>
    <w:rsid w:val="00084300"/>
    <w:rsid w:val="0009527E"/>
    <w:rsid w:val="000A0112"/>
    <w:rsid w:val="000B53A4"/>
    <w:rsid w:val="000C0743"/>
    <w:rsid w:val="000C5CDD"/>
    <w:rsid w:val="000D365E"/>
    <w:rsid w:val="000D4982"/>
    <w:rsid w:val="000E30D6"/>
    <w:rsid w:val="000E655D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C0CDE"/>
    <w:rsid w:val="001C11E8"/>
    <w:rsid w:val="001C4C77"/>
    <w:rsid w:val="001C54C5"/>
    <w:rsid w:val="001C5F5D"/>
    <w:rsid w:val="001D0463"/>
    <w:rsid w:val="001D5949"/>
    <w:rsid w:val="001D6DB3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616FA"/>
    <w:rsid w:val="00276F8D"/>
    <w:rsid w:val="00287C88"/>
    <w:rsid w:val="002A2FDB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E0A3E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86993"/>
    <w:rsid w:val="00594F95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36528"/>
    <w:rsid w:val="00641F05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2658"/>
    <w:rsid w:val="008132EF"/>
    <w:rsid w:val="00824A8E"/>
    <w:rsid w:val="0082588D"/>
    <w:rsid w:val="008374BA"/>
    <w:rsid w:val="00840129"/>
    <w:rsid w:val="00843935"/>
    <w:rsid w:val="00850B4E"/>
    <w:rsid w:val="008549DE"/>
    <w:rsid w:val="00855EDD"/>
    <w:rsid w:val="0086444C"/>
    <w:rsid w:val="00884B70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D61"/>
    <w:rsid w:val="009836C0"/>
    <w:rsid w:val="00992BEA"/>
    <w:rsid w:val="009B01FB"/>
    <w:rsid w:val="009C5097"/>
    <w:rsid w:val="009D0561"/>
    <w:rsid w:val="009E51C8"/>
    <w:rsid w:val="009F256E"/>
    <w:rsid w:val="009F5AA7"/>
    <w:rsid w:val="00A0130E"/>
    <w:rsid w:val="00A03869"/>
    <w:rsid w:val="00A06A61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B4009"/>
    <w:rsid w:val="00BB4FDF"/>
    <w:rsid w:val="00BC11F9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E746B"/>
    <w:rsid w:val="00CF6DEF"/>
    <w:rsid w:val="00D03482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A4989"/>
    <w:rsid w:val="00DB11C5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7746"/>
    <w:rsid w:val="00F4444E"/>
    <w:rsid w:val="00F4754E"/>
    <w:rsid w:val="00F478DB"/>
    <w:rsid w:val="00F57E04"/>
    <w:rsid w:val="00F72CA2"/>
    <w:rsid w:val="00F72F79"/>
    <w:rsid w:val="00F73182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413e9b-8b44-4c65-8e3c-fd815c2d5864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2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5A63B6-D25B-46A8-A7C3-6FD9833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2020-10-30T11:11:00Z</dcterms:created>
  <dcterms:modified xsi:type="dcterms:W3CDTF">2020-10-30T11:11:00Z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