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9F" w:rsidRPr="00DF7C9F" w:rsidRDefault="00DF7C9F" w:rsidP="00DF7C9F">
      <w:pPr>
        <w:pStyle w:val="BodyText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DF7C9F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78B5C7A9" wp14:editId="70B99C6C">
            <wp:simplePos x="0" y="0"/>
            <wp:positionH relativeFrom="page">
              <wp:posOffset>47625</wp:posOffset>
            </wp:positionH>
            <wp:positionV relativeFrom="page">
              <wp:posOffset>31750</wp:posOffset>
            </wp:positionV>
            <wp:extent cx="7688578" cy="96517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8578" cy="965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C9F" w:rsidRPr="00DF7C9F" w:rsidRDefault="00DF7C9F" w:rsidP="00DF7C9F">
      <w:pPr>
        <w:pStyle w:val="BodyText"/>
        <w:rPr>
          <w:rFonts w:asciiTheme="minorHAnsi" w:hAnsiTheme="minorHAnsi" w:cstheme="minorHAnsi"/>
          <w:sz w:val="20"/>
        </w:rPr>
      </w:pPr>
    </w:p>
    <w:p w:rsidR="00DF7C9F" w:rsidRPr="00DF7C9F" w:rsidRDefault="00DF7C9F" w:rsidP="00DF7C9F">
      <w:pPr>
        <w:pStyle w:val="BodyText"/>
        <w:rPr>
          <w:rFonts w:asciiTheme="minorHAnsi" w:hAnsiTheme="minorHAnsi" w:cstheme="minorHAnsi"/>
          <w:sz w:val="20"/>
        </w:rPr>
      </w:pPr>
    </w:p>
    <w:p w:rsidR="00DF7C9F" w:rsidRPr="00DF7C9F" w:rsidRDefault="00DF7C9F" w:rsidP="00DF7C9F">
      <w:pPr>
        <w:pStyle w:val="BodyText"/>
        <w:rPr>
          <w:rFonts w:asciiTheme="minorHAnsi" w:hAnsiTheme="minorHAnsi" w:cstheme="minorHAnsi"/>
          <w:sz w:val="20"/>
        </w:rPr>
      </w:pPr>
    </w:p>
    <w:p w:rsidR="00DF7C9F" w:rsidRPr="00DF7C9F" w:rsidRDefault="00DF7C9F" w:rsidP="00DF7C9F">
      <w:pPr>
        <w:pStyle w:val="BodyText"/>
        <w:rPr>
          <w:rFonts w:asciiTheme="minorHAnsi" w:hAnsiTheme="minorHAnsi" w:cstheme="minorHAnsi"/>
          <w:sz w:val="20"/>
        </w:rPr>
      </w:pPr>
    </w:p>
    <w:p w:rsidR="00EA575E" w:rsidRDefault="00EA575E" w:rsidP="00DF7C9F">
      <w:pPr>
        <w:spacing w:line="1078" w:lineRule="exact"/>
        <w:ind w:left="533"/>
        <w:rPr>
          <w:rFonts w:asciiTheme="minorHAnsi" w:hAnsiTheme="minorHAnsi" w:cstheme="minorHAnsi"/>
          <w:b/>
          <w:color w:val="FFFFFF" w:themeColor="background1"/>
          <w:sz w:val="96"/>
        </w:rPr>
      </w:pPr>
      <w:r>
        <w:rPr>
          <w:rFonts w:asciiTheme="minorHAnsi" w:hAnsiTheme="minorHAnsi" w:cstheme="minorHAnsi"/>
          <w:b/>
          <w:color w:val="FFFFFF" w:themeColor="background1"/>
          <w:sz w:val="96"/>
        </w:rPr>
        <w:t xml:space="preserve">Proveedor </w:t>
      </w:r>
    </w:p>
    <w:p w:rsidR="00DF7C9F" w:rsidRPr="00DF7C9F" w:rsidRDefault="00EA575E" w:rsidP="00DF7C9F">
      <w:pPr>
        <w:spacing w:line="1078" w:lineRule="exact"/>
        <w:ind w:left="533"/>
        <w:rPr>
          <w:rFonts w:asciiTheme="minorHAnsi" w:hAnsiTheme="minorHAnsi" w:cstheme="minorHAnsi"/>
          <w:b/>
          <w:color w:val="FFFFFF" w:themeColor="background1"/>
          <w:sz w:val="96"/>
        </w:rPr>
      </w:pPr>
      <w:r>
        <w:rPr>
          <w:rFonts w:asciiTheme="minorHAnsi" w:hAnsiTheme="minorHAnsi" w:cstheme="minorHAnsi"/>
          <w:b/>
          <w:color w:val="FFFFFF" w:themeColor="background1"/>
          <w:sz w:val="96"/>
        </w:rPr>
        <w:t>Código de Conducta</w:t>
      </w:r>
    </w:p>
    <w:p w:rsidR="00DF7C9F" w:rsidRPr="00DF7C9F" w:rsidRDefault="00DF7C9F" w:rsidP="00DF7C9F">
      <w:pPr>
        <w:spacing w:before="60"/>
        <w:ind w:right="858"/>
        <w:jc w:val="right"/>
        <w:rPr>
          <w:rFonts w:asciiTheme="minorHAnsi" w:hAnsiTheme="minorHAnsi" w:cstheme="minorHAnsi"/>
          <w:b/>
          <w:sz w:val="50"/>
        </w:rPr>
      </w:pPr>
      <w:r>
        <w:rPr>
          <w:rFonts w:asciiTheme="minorHAnsi" w:hAnsiTheme="minorHAnsi" w:cstheme="minorHAnsi"/>
          <w:b/>
          <w:color w:val="FFFFFF"/>
          <w:spacing w:val="-1"/>
          <w:sz w:val="50"/>
        </w:rPr>
        <w:t>2020</w:t>
      </w:r>
    </w:p>
    <w:p w:rsidR="00DF7C9F" w:rsidRPr="00DF7C9F" w:rsidRDefault="00DF7C9F" w:rsidP="00DF7C9F">
      <w:pPr>
        <w:jc w:val="right"/>
        <w:rPr>
          <w:rFonts w:asciiTheme="minorHAnsi" w:hAnsiTheme="minorHAnsi" w:cstheme="minorHAnsi"/>
          <w:sz w:val="50"/>
        </w:rPr>
        <w:sectPr w:rsidR="00DF7C9F" w:rsidRPr="00DF7C9F" w:rsidSect="00DF7C9F">
          <w:pgSz w:w="12240" w:h="15840"/>
          <w:pgMar w:top="1500" w:right="560" w:bottom="280" w:left="1420" w:header="720" w:footer="720" w:gutter="0"/>
          <w:cols w:space="720"/>
        </w:sectPr>
      </w:pPr>
    </w:p>
    <w:p w:rsidR="00AE3F23" w:rsidRPr="00DF7C9F" w:rsidRDefault="00AE3F23" w:rsidP="00840129">
      <w:pPr>
        <w:pStyle w:val="Heading1"/>
        <w:numPr>
          <w:ilvl w:val="0"/>
          <w:numId w:val="0"/>
        </w:numPr>
        <w:pBdr>
          <w:bottom w:val="single" w:sz="6" w:space="1" w:color="auto"/>
        </w:pBdr>
        <w:ind w:left="1418" w:hanging="1418"/>
        <w:rPr>
          <w:rFonts w:asciiTheme="minorHAnsi" w:hAnsiTheme="minorHAnsi" w:cstheme="minorHAnsi"/>
          <w:sz w:val="36"/>
          <w:szCs w:val="28"/>
        </w:rPr>
      </w:pPr>
      <w:r w:rsidRPr="00DF7C9F">
        <w:rPr>
          <w:rFonts w:asciiTheme="minorHAnsi" w:hAnsiTheme="minorHAnsi" w:cstheme="minorHAnsi"/>
          <w:sz w:val="36"/>
          <w:szCs w:val="28"/>
        </w:rPr>
        <w:lastRenderedPageBreak/>
        <w:t>Propósito y resumen</w:t>
      </w:r>
    </w:p>
    <w:p w:rsidR="00840129" w:rsidRPr="00DF7C9F" w:rsidRDefault="00840129" w:rsidP="00840129">
      <w:pPr>
        <w:pStyle w:val="NormalIndent"/>
        <w:rPr>
          <w:rFonts w:asciiTheme="minorHAnsi" w:hAnsiTheme="minorHAnsi" w:cstheme="minorHAnsi"/>
          <w:lang w:val="en-US"/>
        </w:rPr>
      </w:pPr>
    </w:p>
    <w:p w:rsidR="00EA575E" w:rsidRDefault="00EA575E" w:rsidP="00EA575E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allnex </w:t>
      </w:r>
      <w:r w:rsidRPr="00BB4583">
        <w:rPr>
          <w:sz w:val="22"/>
          <w:szCs w:val="22"/>
          <w:lang w:val="en-US"/>
        </w:rPr>
        <w:t xml:space="preserve">se compromete a hacer negocios de forma ética y responsable y espera lo mismo de sus proveedores. En apoyo de este compromiso, </w:t>
      </w:r>
      <w:r>
        <w:rPr>
          <w:sz w:val="22"/>
          <w:szCs w:val="22"/>
          <w:lang w:val="en-US"/>
        </w:rPr>
        <w:t xml:space="preserve">allnex </w:t>
      </w:r>
      <w:r w:rsidRPr="00BB4583">
        <w:rPr>
          <w:sz w:val="22"/>
          <w:szCs w:val="22"/>
          <w:lang w:val="en-US"/>
        </w:rPr>
        <w:t xml:space="preserve">ha desarrollado un Código de Conducta de Proveedores para transmitir sus expectativas </w:t>
      </w:r>
      <w:r>
        <w:rPr>
          <w:sz w:val="22"/>
          <w:szCs w:val="22"/>
          <w:lang w:val="en-US"/>
        </w:rPr>
        <w:t xml:space="preserve">a </w:t>
      </w:r>
      <w:r w:rsidRPr="00BB4583">
        <w:rPr>
          <w:sz w:val="22"/>
          <w:szCs w:val="22"/>
          <w:lang w:val="en-US"/>
        </w:rPr>
        <w:t xml:space="preserve">sus proveedores en lo que respecta al cumplimiento de las leyes, la </w:t>
      </w:r>
      <w:r>
        <w:rPr>
          <w:sz w:val="22"/>
          <w:szCs w:val="22"/>
          <w:lang w:val="en-US"/>
        </w:rPr>
        <w:t>integridad empresarial, la salud, la seguridad y la protección del medio ambiente, el respeto de los derechos humanos y la sostenibilidad</w:t>
      </w:r>
      <w:r w:rsidRPr="00BB4583">
        <w:rPr>
          <w:sz w:val="22"/>
          <w:szCs w:val="22"/>
          <w:lang w:val="en-US"/>
        </w:rPr>
        <w:t xml:space="preserve">. </w:t>
      </w:r>
    </w:p>
    <w:p w:rsidR="00AE3F23" w:rsidRPr="00DF7C9F" w:rsidRDefault="00AE3F23" w:rsidP="00AE3F23">
      <w:pPr>
        <w:jc w:val="both"/>
        <w:rPr>
          <w:rFonts w:asciiTheme="minorHAnsi" w:hAnsiTheme="minorHAnsi" w:cstheme="minorHAnsi"/>
          <w:bCs w:val="0"/>
          <w:color w:val="000000"/>
          <w:sz w:val="22"/>
          <w:szCs w:val="22"/>
        </w:rPr>
      </w:pPr>
    </w:p>
    <w:p w:rsidR="00AE3F23" w:rsidRPr="00DF7C9F" w:rsidRDefault="00EA575E" w:rsidP="00840129">
      <w:pPr>
        <w:pStyle w:val="Heading1"/>
        <w:numPr>
          <w:ilvl w:val="0"/>
          <w:numId w:val="0"/>
        </w:numPr>
        <w:pBdr>
          <w:bottom w:val="single" w:sz="6" w:space="1" w:color="auto"/>
        </w:pBdr>
        <w:ind w:left="1418" w:hanging="1418"/>
        <w:rPr>
          <w:rFonts w:asciiTheme="minorHAnsi" w:hAnsiTheme="minorHAnsi" w:cstheme="minorHAnsi"/>
          <w:sz w:val="36"/>
          <w:szCs w:val="28"/>
        </w:rPr>
      </w:pPr>
      <w:r>
        <w:rPr>
          <w:rFonts w:asciiTheme="minorHAnsi" w:hAnsiTheme="minorHAnsi" w:cstheme="minorHAnsi"/>
          <w:sz w:val="36"/>
          <w:szCs w:val="28"/>
        </w:rPr>
        <w:t>Código de conducta de los proveedores de allnex</w:t>
      </w:r>
    </w:p>
    <w:p w:rsidR="00840129" w:rsidRPr="00DF7C9F" w:rsidRDefault="00840129" w:rsidP="00840129">
      <w:pPr>
        <w:pStyle w:val="NormalIndent"/>
        <w:rPr>
          <w:rFonts w:asciiTheme="minorHAnsi" w:hAnsiTheme="minorHAnsi" w:cstheme="minorHAnsi"/>
          <w:lang w:val="en-US"/>
        </w:rPr>
      </w:pPr>
    </w:p>
    <w:p w:rsidR="00EA575E" w:rsidRDefault="00EA575E" w:rsidP="00EA575E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Se espera que los proveedores, vendedores, contratistas, consultores y otros proveedores de bienes y servicios que hacen negocios con las entidades de allnex en todo el mundo se adhieran a los principios de este Código de Proveedores </w:t>
      </w:r>
      <w:r w:rsidRPr="00BB4583">
        <w:rPr>
          <w:sz w:val="22"/>
          <w:szCs w:val="22"/>
          <w:lang w:val="en-US"/>
        </w:rPr>
        <w:t>y tomen las medidas apropiadas para asegurar su cumplimiento.</w:t>
      </w:r>
    </w:p>
    <w:p w:rsidR="00EA575E" w:rsidRDefault="00EA575E" w:rsidP="00EA575E">
      <w:pPr>
        <w:pStyle w:val="Default"/>
        <w:jc w:val="both"/>
        <w:rPr>
          <w:sz w:val="22"/>
          <w:szCs w:val="22"/>
          <w:lang w:val="en-US"/>
        </w:rPr>
      </w:pPr>
    </w:p>
    <w:p w:rsidR="00915677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1.</w:t>
      </w:r>
      <w:r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Actuar de acuerdo con las leyes. </w:t>
      </w:r>
    </w:p>
    <w:p w:rsidR="00EA575E" w:rsidRPr="00BB4583" w:rsidRDefault="00EA575E" w:rsidP="00915677">
      <w:pPr>
        <w:pStyle w:val="Default"/>
        <w:spacing w:after="182"/>
        <w:ind w:left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Los proveedores deberán conocer y cumplir todas las leyes y reglamentos aplicables de los países en que operen, incluidas, cuando proceda, las leyes anticorrupción, los reglamentos aduaneros, las leyes de control de la exportación y el comercio, y las leyes sobre prácticas comerciales leales y sobre la competencia.</w:t>
      </w:r>
    </w:p>
    <w:p w:rsidR="00915677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Hacer negocios éticamente. </w:t>
      </w:r>
    </w:p>
    <w:p w:rsidR="00EA575E" w:rsidRPr="00BB4583" w:rsidRDefault="00EA575E" w:rsidP="00915677">
      <w:pPr>
        <w:pStyle w:val="Default"/>
        <w:spacing w:after="182"/>
        <w:ind w:left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Los proveedores no pagarán sobornos</w:t>
      </w:r>
      <w:r>
        <w:rPr>
          <w:sz w:val="22"/>
          <w:szCs w:val="22"/>
          <w:lang w:val="en-US"/>
        </w:rPr>
        <w:t xml:space="preserve">, no darán sobornos </w:t>
      </w:r>
      <w:r w:rsidRPr="00BB4583">
        <w:rPr>
          <w:sz w:val="22"/>
          <w:szCs w:val="22"/>
          <w:lang w:val="en-US"/>
        </w:rPr>
        <w:t>ni darán nada de valor para asegurar el negocio o cualquier ventaja comercial.</w:t>
      </w:r>
    </w:p>
    <w:p w:rsidR="00915677" w:rsidRPr="00915677" w:rsidRDefault="00EA575E" w:rsidP="00EA575E">
      <w:pPr>
        <w:pStyle w:val="Default"/>
        <w:spacing w:after="182"/>
        <w:ind w:left="705" w:hanging="705"/>
        <w:rPr>
          <w:b/>
          <w:bCs/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Evita regalos, comidas y entretenimiento inapropiados. </w:t>
      </w:r>
    </w:p>
    <w:p w:rsidR="00EA575E" w:rsidRPr="00BB4583" w:rsidRDefault="00EA575E" w:rsidP="00915677">
      <w:pPr>
        <w:pStyle w:val="Default"/>
        <w:spacing w:after="182"/>
        <w:ind w:left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 xml:space="preserve">Los proveedores no proporcionarán ni ofrecerán regalos, comidas o entretenimiento que puedan </w:t>
      </w:r>
      <w:r>
        <w:rPr>
          <w:sz w:val="22"/>
          <w:szCs w:val="22"/>
          <w:lang w:val="en-US"/>
        </w:rPr>
        <w:t>(</w:t>
      </w:r>
      <w:r w:rsidRPr="00BB4583">
        <w:rPr>
          <w:sz w:val="22"/>
          <w:szCs w:val="22"/>
          <w:lang w:val="en-US"/>
        </w:rPr>
        <w:t>o parezca</w:t>
      </w:r>
      <w:r>
        <w:rPr>
          <w:sz w:val="22"/>
          <w:szCs w:val="22"/>
          <w:lang w:val="en-US"/>
        </w:rPr>
        <w:t xml:space="preserve">) influir </w:t>
      </w:r>
      <w:r w:rsidRPr="00BB4583">
        <w:rPr>
          <w:sz w:val="22"/>
          <w:szCs w:val="22"/>
          <w:lang w:val="en-US"/>
        </w:rPr>
        <w:t>de manera inapropiada en una decisión comercial.</w:t>
      </w:r>
    </w:p>
    <w:p w:rsidR="00915677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Demostrar respeto por las personas. </w:t>
      </w:r>
    </w:p>
    <w:p w:rsidR="00EA575E" w:rsidRPr="00BB4583" w:rsidRDefault="00EA575E" w:rsidP="00915677">
      <w:pPr>
        <w:pStyle w:val="Default"/>
        <w:spacing w:after="182"/>
        <w:ind w:left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Los proveedores tratarán de emplear una fuerza de trabajo diversa, proporcionar un lugar de trabajo libre de discriminación y acoso, y tratar a los empleados de manera justa, incluso con respecto a los salarios, las horas de trabajo, los beneficios y las condiciones de trabajo</w:t>
      </w:r>
      <w:r>
        <w:rPr>
          <w:sz w:val="22"/>
          <w:szCs w:val="22"/>
          <w:lang w:val="en-US"/>
        </w:rPr>
        <w:t>. Los empleados y los socios comerciales deben sentirse valorados y respetados por sus contribuciones.</w:t>
      </w:r>
    </w:p>
    <w:p w:rsidR="00915677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5.</w:t>
      </w:r>
      <w:r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Respetar los derechos humanos fundamentales. </w:t>
      </w:r>
    </w:p>
    <w:p w:rsidR="00EA575E" w:rsidRDefault="00EA575E" w:rsidP="00915677">
      <w:pPr>
        <w:pStyle w:val="Default"/>
        <w:spacing w:after="182"/>
        <w:ind w:left="705"/>
        <w:rPr>
          <w:sz w:val="22"/>
          <w:szCs w:val="22"/>
          <w:lang w:val="en-US"/>
        </w:rPr>
      </w:pPr>
      <w:r w:rsidRPr="00FE6E42">
        <w:rPr>
          <w:sz w:val="22"/>
          <w:szCs w:val="22"/>
          <w:lang w:val="en-US"/>
        </w:rPr>
        <w:t xml:space="preserve">Los proveedores </w:t>
      </w:r>
      <w:r w:rsidR="0021087D">
        <w:rPr>
          <w:sz w:val="22"/>
          <w:szCs w:val="22"/>
          <w:lang w:val="en-US"/>
        </w:rPr>
        <w:t xml:space="preserve">deben </w:t>
      </w:r>
      <w:r w:rsidRPr="00FE6E42">
        <w:rPr>
          <w:sz w:val="22"/>
          <w:szCs w:val="22"/>
          <w:lang w:val="en-US"/>
        </w:rPr>
        <w:t xml:space="preserve">tratar y emplear a sus trabajadores respetando los derechos humanos, incluida la Declaración Universal de Derechos Humanos de las Naciones Unidas y </w:t>
      </w:r>
      <w:r w:rsidR="00DE2BE9">
        <w:rPr>
          <w:sz w:val="22"/>
          <w:szCs w:val="22"/>
          <w:lang w:val="en-US"/>
        </w:rPr>
        <w:t xml:space="preserve">los convenios fundamentales de la </w:t>
      </w:r>
      <w:r w:rsidRPr="00FE6E42">
        <w:rPr>
          <w:sz w:val="22"/>
          <w:szCs w:val="22"/>
          <w:lang w:val="en-US"/>
        </w:rPr>
        <w:t xml:space="preserve">Organización Internacional del Trabajo (OIT), así como cumpliendo los requisitos normativos </w:t>
      </w:r>
      <w:r w:rsidR="00DE2BE9">
        <w:rPr>
          <w:sz w:val="22"/>
          <w:szCs w:val="22"/>
          <w:lang w:val="en-US"/>
        </w:rPr>
        <w:t xml:space="preserve">locales en relación con la trata de personas y la esclavitud. </w:t>
      </w:r>
      <w:r w:rsidRPr="00FE6E42">
        <w:rPr>
          <w:sz w:val="22"/>
          <w:szCs w:val="22"/>
          <w:lang w:val="en-US"/>
        </w:rPr>
        <w:t xml:space="preserve">Los proveedores </w:t>
      </w:r>
      <w:r w:rsidR="0021087D">
        <w:rPr>
          <w:sz w:val="22"/>
          <w:szCs w:val="22"/>
          <w:lang w:val="en-US"/>
        </w:rPr>
        <w:t xml:space="preserve">deben tener </w:t>
      </w:r>
      <w:r w:rsidRPr="00FE6E42">
        <w:rPr>
          <w:sz w:val="22"/>
          <w:szCs w:val="22"/>
          <w:lang w:val="en-US"/>
        </w:rPr>
        <w:t xml:space="preserve">una política documentada para prevenir eficazmente </w:t>
      </w:r>
      <w:r w:rsidR="00915677" w:rsidRPr="00FE6E42">
        <w:rPr>
          <w:sz w:val="22"/>
          <w:szCs w:val="22"/>
          <w:lang w:val="en-US"/>
        </w:rPr>
        <w:t>el trabajo infantil</w:t>
      </w:r>
      <w:r w:rsidR="00DE2BE9">
        <w:rPr>
          <w:sz w:val="22"/>
          <w:szCs w:val="22"/>
          <w:lang w:val="en-US"/>
        </w:rPr>
        <w:t xml:space="preserve">, la trata de personas y la esclavitud </w:t>
      </w:r>
      <w:r w:rsidRPr="00FE6E42">
        <w:rPr>
          <w:sz w:val="22"/>
          <w:szCs w:val="22"/>
          <w:lang w:val="en-US"/>
        </w:rPr>
        <w:t xml:space="preserve">en cualquiera de sus formas a lo largo de </w:t>
      </w:r>
      <w:r w:rsidRPr="00FE6E42">
        <w:rPr>
          <w:sz w:val="22"/>
          <w:szCs w:val="22"/>
          <w:lang w:val="en-US"/>
        </w:rPr>
        <w:lastRenderedPageBreak/>
        <w:t xml:space="preserve">sus actividades y para garantizar que </w:t>
      </w:r>
      <w:r w:rsidR="00DE2BE9">
        <w:rPr>
          <w:sz w:val="22"/>
          <w:szCs w:val="22"/>
          <w:lang w:val="en-US"/>
        </w:rPr>
        <w:t xml:space="preserve">cualquier </w:t>
      </w:r>
      <w:r w:rsidR="00915677" w:rsidRPr="00FE6E42">
        <w:rPr>
          <w:sz w:val="22"/>
          <w:szCs w:val="22"/>
          <w:lang w:val="en-US"/>
        </w:rPr>
        <w:t xml:space="preserve">trabajo </w:t>
      </w:r>
      <w:r w:rsidRPr="00FE6E42">
        <w:rPr>
          <w:sz w:val="22"/>
          <w:szCs w:val="22"/>
          <w:lang w:val="en-US"/>
        </w:rPr>
        <w:t>infantil</w:t>
      </w:r>
      <w:r w:rsidR="00DE2BE9">
        <w:rPr>
          <w:sz w:val="22"/>
          <w:szCs w:val="22"/>
          <w:lang w:val="en-US"/>
        </w:rPr>
        <w:t xml:space="preserve">, trata de personas y esclavitud </w:t>
      </w:r>
      <w:r w:rsidRPr="00FE6E42">
        <w:rPr>
          <w:sz w:val="22"/>
          <w:szCs w:val="22"/>
          <w:lang w:val="en-US"/>
        </w:rPr>
        <w:t xml:space="preserve">que se identifique en la empresa se eliminará de forma </w:t>
      </w:r>
      <w:r w:rsidR="00DE2BE9">
        <w:rPr>
          <w:sz w:val="22"/>
          <w:szCs w:val="22"/>
          <w:lang w:val="en-US"/>
        </w:rPr>
        <w:t xml:space="preserve">efectiva </w:t>
      </w:r>
      <w:r w:rsidRPr="00FE6E42">
        <w:rPr>
          <w:sz w:val="22"/>
          <w:szCs w:val="22"/>
          <w:lang w:val="en-US"/>
        </w:rPr>
        <w:t xml:space="preserve">inmediatamente. </w:t>
      </w:r>
    </w:p>
    <w:p w:rsidR="00915677" w:rsidRPr="00915677" w:rsidRDefault="00EA575E" w:rsidP="00EA575E">
      <w:pPr>
        <w:pStyle w:val="Default"/>
        <w:spacing w:after="182"/>
        <w:ind w:left="705" w:hanging="705"/>
        <w:rPr>
          <w:b/>
          <w:bCs/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6.</w:t>
      </w:r>
      <w:r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Proporcionar un entorno de trabajo seguro. </w:t>
      </w:r>
    </w:p>
    <w:p w:rsidR="00EA575E" w:rsidRPr="00BB4583" w:rsidRDefault="00EA575E" w:rsidP="00915677">
      <w:pPr>
        <w:pStyle w:val="Default"/>
        <w:spacing w:after="182"/>
        <w:ind w:left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Los proveedores proporcionarán un entorno de trabajo seguro, limpio y saludable que cumpla con todas las leyes, normas y reglamentos pertinentes</w:t>
      </w:r>
      <w:r>
        <w:rPr>
          <w:sz w:val="22"/>
          <w:szCs w:val="22"/>
          <w:lang w:val="en-US"/>
        </w:rPr>
        <w:t xml:space="preserve">, </w:t>
      </w:r>
      <w:r w:rsidRPr="00BB4583">
        <w:rPr>
          <w:sz w:val="22"/>
          <w:szCs w:val="22"/>
          <w:lang w:val="en-US"/>
        </w:rPr>
        <w:t>y se esforzarán por prevenir las lesiones laborales y los incidentes de seguridad.</w:t>
      </w:r>
    </w:p>
    <w:p w:rsidR="00915677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>7.</w:t>
      </w:r>
      <w:r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Cumplir con las regulaciones ambientales. </w:t>
      </w:r>
    </w:p>
    <w:p w:rsidR="00EA575E" w:rsidRPr="00BB4583" w:rsidRDefault="00EA575E" w:rsidP="00915677">
      <w:pPr>
        <w:pStyle w:val="Default"/>
        <w:spacing w:after="182"/>
        <w:ind w:left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 xml:space="preserve">Los proveedores llevarán a cabo sus actividades de conformidad con las leyes, reglamentos y normas industriales aplicables en materia de medio ambiente y apoyarán </w:t>
      </w:r>
      <w:r w:rsidR="0021087D">
        <w:rPr>
          <w:sz w:val="22"/>
          <w:szCs w:val="22"/>
          <w:lang w:val="en-US"/>
        </w:rPr>
        <w:t xml:space="preserve">los </w:t>
      </w:r>
      <w:r w:rsidRPr="00BB4583">
        <w:rPr>
          <w:sz w:val="22"/>
          <w:szCs w:val="22"/>
          <w:lang w:val="en-US"/>
        </w:rPr>
        <w:t xml:space="preserve">esfuerzos de </w:t>
      </w:r>
      <w:r>
        <w:rPr>
          <w:sz w:val="22"/>
          <w:szCs w:val="22"/>
          <w:lang w:val="en-US"/>
        </w:rPr>
        <w:t xml:space="preserve">Allnex para operar de manera </w:t>
      </w:r>
      <w:r w:rsidRPr="00BB4583">
        <w:rPr>
          <w:sz w:val="22"/>
          <w:szCs w:val="22"/>
          <w:lang w:val="en-US"/>
        </w:rPr>
        <w:t>sostenible.</w:t>
      </w:r>
    </w:p>
    <w:p w:rsidR="00915677" w:rsidRDefault="00EA575E" w:rsidP="00EA575E">
      <w:pPr>
        <w:pStyle w:val="Default"/>
        <w:spacing w:after="182"/>
        <w:ind w:left="705" w:hanging="705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8.)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Mantén los libros y registros precisos. </w:t>
      </w:r>
    </w:p>
    <w:p w:rsidR="00EA575E" w:rsidRPr="00BB4583" w:rsidRDefault="00EA575E" w:rsidP="00915677">
      <w:pPr>
        <w:pStyle w:val="Default"/>
        <w:spacing w:after="182"/>
        <w:ind w:left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 xml:space="preserve">Los proveedores mantendrán libros </w:t>
      </w:r>
      <w:r>
        <w:rPr>
          <w:sz w:val="22"/>
          <w:szCs w:val="22"/>
          <w:lang w:val="en-US"/>
        </w:rPr>
        <w:t xml:space="preserve">financieros </w:t>
      </w:r>
      <w:r w:rsidRPr="00BB4583">
        <w:rPr>
          <w:sz w:val="22"/>
          <w:szCs w:val="22"/>
          <w:lang w:val="en-US"/>
        </w:rPr>
        <w:t>y registros comerciales precisos, según lo dispuesto en los requisitos legales y reglamentarios aplicables y en las prácticas contables aceptadas.</w:t>
      </w:r>
    </w:p>
    <w:p w:rsidR="00915677" w:rsidRDefault="00EA575E" w:rsidP="00EA575E">
      <w:pPr>
        <w:pStyle w:val="Default"/>
        <w:ind w:left="705" w:hanging="705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9.) 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Gestionar y proteger la información. </w:t>
      </w:r>
    </w:p>
    <w:p w:rsidR="00EA575E" w:rsidRDefault="00EA575E" w:rsidP="00915677">
      <w:pPr>
        <w:pStyle w:val="Default"/>
        <w:spacing w:before="240"/>
        <w:ind w:left="705"/>
        <w:rPr>
          <w:sz w:val="22"/>
          <w:szCs w:val="22"/>
          <w:lang w:val="en-US"/>
        </w:rPr>
      </w:pPr>
      <w:r w:rsidRPr="00BB4583">
        <w:rPr>
          <w:sz w:val="22"/>
          <w:szCs w:val="22"/>
          <w:lang w:val="en-US"/>
        </w:rPr>
        <w:t xml:space="preserve">Los proveedores tomarán las medidas adecuadas para proteger </w:t>
      </w:r>
      <w:r w:rsidR="0021087D">
        <w:rPr>
          <w:sz w:val="22"/>
          <w:szCs w:val="22"/>
          <w:lang w:val="en-US"/>
        </w:rPr>
        <w:t xml:space="preserve">la </w:t>
      </w:r>
      <w:r w:rsidRPr="00BB4583">
        <w:rPr>
          <w:sz w:val="22"/>
          <w:szCs w:val="22"/>
          <w:lang w:val="en-US"/>
        </w:rPr>
        <w:t xml:space="preserve">información patentada o confidencial de </w:t>
      </w:r>
      <w:r>
        <w:rPr>
          <w:sz w:val="22"/>
          <w:szCs w:val="22"/>
          <w:lang w:val="en-US"/>
        </w:rPr>
        <w:t>Allnex</w:t>
      </w:r>
      <w:r w:rsidRPr="00BB4583">
        <w:rPr>
          <w:sz w:val="22"/>
          <w:szCs w:val="22"/>
          <w:lang w:val="en-US"/>
        </w:rPr>
        <w:t>, incluida la información de los empleados, los datos de los clientes, la propiedad intelectual y los secretos comerciales.</w:t>
      </w:r>
    </w:p>
    <w:p w:rsidR="00EA575E" w:rsidRDefault="00EA575E" w:rsidP="00EA575E">
      <w:pPr>
        <w:pStyle w:val="Default"/>
        <w:ind w:left="705" w:hanging="705"/>
        <w:rPr>
          <w:sz w:val="22"/>
          <w:szCs w:val="22"/>
          <w:lang w:val="en-US"/>
        </w:rPr>
      </w:pPr>
    </w:p>
    <w:p w:rsidR="00915677" w:rsidRPr="00915677" w:rsidRDefault="00EA575E" w:rsidP="00EA575E">
      <w:pPr>
        <w:pStyle w:val="Default"/>
        <w:ind w:left="705" w:hanging="705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10.)</w:t>
      </w:r>
      <w:r>
        <w:rPr>
          <w:sz w:val="22"/>
          <w:szCs w:val="22"/>
          <w:lang w:val="en-US"/>
        </w:rPr>
        <w:tab/>
      </w:r>
      <w:r w:rsidRPr="00915677">
        <w:rPr>
          <w:b/>
          <w:bCs/>
          <w:sz w:val="22"/>
          <w:szCs w:val="22"/>
          <w:lang w:val="en-US"/>
        </w:rPr>
        <w:t xml:space="preserve">Entregar productos y servicios que cumplan con las normas de calidad, salud y seguridad aplicables. </w:t>
      </w:r>
    </w:p>
    <w:p w:rsidR="00915677" w:rsidRDefault="00915677" w:rsidP="00EA575E">
      <w:pPr>
        <w:pStyle w:val="Default"/>
        <w:ind w:left="705" w:hanging="705"/>
        <w:rPr>
          <w:sz w:val="22"/>
          <w:szCs w:val="22"/>
          <w:lang w:val="en-US"/>
        </w:rPr>
      </w:pPr>
    </w:p>
    <w:p w:rsidR="00EA575E" w:rsidRDefault="00EA575E" w:rsidP="00915677">
      <w:pPr>
        <w:pStyle w:val="Default"/>
        <w:ind w:left="705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Los proveedores de allnex informarán inmediatamente a allnex de los problemas que puedan afectar negativamente a la calidad o a la percepción pública de un producto allnex. </w:t>
      </w:r>
    </w:p>
    <w:p w:rsidR="00EA575E" w:rsidRDefault="00EA575E" w:rsidP="00EA575E">
      <w:pPr>
        <w:pStyle w:val="Default"/>
        <w:ind w:left="705" w:hanging="705"/>
        <w:rPr>
          <w:sz w:val="22"/>
          <w:szCs w:val="22"/>
          <w:lang w:val="en-US"/>
        </w:rPr>
      </w:pPr>
    </w:p>
    <w:p w:rsidR="00EA575E" w:rsidRDefault="00EA575E" w:rsidP="00EA575E">
      <w:pPr>
        <w:pStyle w:val="Default"/>
        <w:ind w:left="705" w:hanging="705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allnex se reserva el derecho de rescindir cualquier acuerdo con cualquier proveedor que no pueda </w:t>
      </w:r>
    </w:p>
    <w:p w:rsidR="00EA575E" w:rsidRPr="00BB4583" w:rsidRDefault="00EA575E" w:rsidP="00EA575E">
      <w:pPr>
        <w:pStyle w:val="Default"/>
        <w:ind w:left="705" w:hanging="705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demostrar el cumplimiento del Código de Conducta de los Proveedores.</w:t>
      </w:r>
    </w:p>
    <w:p w:rsidR="00EA575E" w:rsidRDefault="00EA575E" w:rsidP="00EA575E">
      <w:pPr>
        <w:pStyle w:val="Default"/>
        <w:spacing w:after="182"/>
        <w:rPr>
          <w:sz w:val="22"/>
          <w:szCs w:val="22"/>
          <w:lang w:val="en-US"/>
        </w:rPr>
      </w:pPr>
    </w:p>
    <w:p w:rsidR="00EA575E" w:rsidRDefault="00EA575E" w:rsidP="00EA575E">
      <w:pPr>
        <w:pStyle w:val="Default"/>
        <w:rPr>
          <w:sz w:val="22"/>
          <w:szCs w:val="22"/>
          <w:lang w:val="en-US"/>
        </w:rPr>
      </w:pPr>
    </w:p>
    <w:p w:rsidR="00F57E04" w:rsidRPr="00DF7C9F" w:rsidRDefault="00F57E04" w:rsidP="00EA575E">
      <w:pPr>
        <w:jc w:val="both"/>
        <w:rPr>
          <w:rFonts w:asciiTheme="minorHAnsi" w:hAnsiTheme="minorHAnsi" w:cstheme="minorHAnsi"/>
          <w:noProof/>
          <w:color w:val="1F497D"/>
          <w:lang w:eastAsia="zh-CN"/>
        </w:rPr>
      </w:pPr>
    </w:p>
    <w:sectPr w:rsidR="00F57E04" w:rsidRPr="00DF7C9F" w:rsidSect="00636528">
      <w:footerReference w:type="default" r:id="rId14"/>
      <w:footerReference w:type="first" r:id="rId15"/>
      <w:pgSz w:w="12240" w:h="15840" w:code="1"/>
      <w:pgMar w:top="15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23" w:rsidRDefault="002E3223">
      <w:r>
        <w:separator/>
      </w:r>
    </w:p>
    <w:p w:rsidR="002E3223" w:rsidRDefault="002E3223"/>
  </w:endnote>
  <w:endnote w:type="continuationSeparator" w:id="0">
    <w:p w:rsidR="002E3223" w:rsidRDefault="002E3223">
      <w:r>
        <w:continuationSeparator/>
      </w:r>
    </w:p>
    <w:p w:rsidR="002E3223" w:rsidRDefault="002E3223"/>
  </w:endnote>
  <w:endnote w:type="continuationNotice" w:id="1">
    <w:p w:rsidR="002E3223" w:rsidRDefault="002E3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789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B75" w:rsidRDefault="00B46B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5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6B75" w:rsidRDefault="00B46B75" w:rsidP="00710001">
    <w:pPr>
      <w:pStyle w:val="Footer"/>
    </w:pPr>
  </w:p>
  <w:p w:rsidR="00B4754C" w:rsidRDefault="00B475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B75" w:rsidRPr="00F26C78" w:rsidRDefault="00B46B75" w:rsidP="00BD203E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23" w:rsidRDefault="002E3223">
      <w:r>
        <w:separator/>
      </w:r>
    </w:p>
    <w:p w:rsidR="002E3223" w:rsidRDefault="002E3223"/>
  </w:footnote>
  <w:footnote w:type="continuationSeparator" w:id="0">
    <w:p w:rsidR="002E3223" w:rsidRDefault="002E3223">
      <w:r>
        <w:continuationSeparator/>
      </w:r>
    </w:p>
    <w:p w:rsidR="002E3223" w:rsidRDefault="002E3223"/>
  </w:footnote>
  <w:footnote w:type="continuationNotice" w:id="1">
    <w:p w:rsidR="002E3223" w:rsidRDefault="002E32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EBA44EA"/>
    <w:lvl w:ilvl="0">
      <w:start w:val="1"/>
      <w:numFmt w:val="decimal"/>
      <w:pStyle w:val="Heading1"/>
      <w:lvlText w:val="%1."/>
      <w:legacy w:legacy="1" w:legacySpace="0" w:legacyIndent="1418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573E5B"/>
    <w:multiLevelType w:val="hybridMultilevel"/>
    <w:tmpl w:val="857447BE"/>
    <w:lvl w:ilvl="0" w:tplc="AE4C24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1E9"/>
    <w:multiLevelType w:val="multilevel"/>
    <w:tmpl w:val="8CE4A912"/>
    <w:lvl w:ilvl="0">
      <w:start w:val="1"/>
      <w:numFmt w:val="decimal"/>
      <w:pStyle w:val="leve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66"/>
        </w:tabs>
        <w:ind w:left="666" w:hanging="576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4">
      <w:start w:val="1"/>
      <w:numFmt w:val="lowerLetter"/>
      <w:pStyle w:val="Level5"/>
      <w:lvlText w:val="%5"/>
      <w:lvlJc w:val="left"/>
      <w:pPr>
        <w:tabs>
          <w:tab w:val="num" w:pos="2520"/>
        </w:tabs>
        <w:ind w:left="576" w:firstLine="15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" w15:restartNumberingAfterBreak="0">
    <w:nsid w:val="0D830EBE"/>
    <w:multiLevelType w:val="multilevel"/>
    <w:tmpl w:val="6C3CDB4E"/>
    <w:styleLink w:val="KreGavList"/>
    <w:lvl w:ilvl="0">
      <w:start w:val="1"/>
      <w:numFmt w:val="bullet"/>
      <w:lvlText w:val=""/>
      <w:lvlJc w:val="left"/>
      <w:pPr>
        <w:ind w:left="255" w:hanging="255"/>
      </w:pPr>
      <w:rPr>
        <w:rFonts w:ascii="Wingdings" w:hAnsi="Wingdings" w:hint="default"/>
        <w:color w:val="D31145"/>
        <w:sz w:val="16"/>
      </w:rPr>
    </w:lvl>
    <w:lvl w:ilvl="1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765" w:hanging="255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020" w:hanging="25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275" w:hanging="25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1530" w:hanging="25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785" w:hanging="25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040" w:hanging="25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295" w:hanging="255"/>
      </w:pPr>
      <w:rPr>
        <w:rFonts w:ascii="Wingdings" w:hAnsi="Wingdings" w:hint="default"/>
      </w:rPr>
    </w:lvl>
  </w:abstractNum>
  <w:abstractNum w:abstractNumId="4" w15:restartNumberingAfterBreak="0">
    <w:nsid w:val="45FE7052"/>
    <w:multiLevelType w:val="multilevel"/>
    <w:tmpl w:val="F8EACD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365F91"/>
      </w:rPr>
    </w:lvl>
    <w:lvl w:ilvl="1">
      <w:start w:val="1"/>
      <w:numFmt w:val="decimal"/>
      <w:pStyle w:val="Level2CharChar1CharCharChar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cs="Cambria" w:hint="default"/>
        <w:b/>
        <w:color w:val="365F91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296"/>
        </w:tabs>
        <w:ind w:left="1296" w:hanging="720"/>
      </w:pPr>
      <w:rPr>
        <w:rFonts w:hint="default"/>
        <w:b w:val="0"/>
        <w:strike w:val="0"/>
        <w:color w:val="365F91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864"/>
      </w:pPr>
      <w:rPr>
        <w:rFonts w:ascii="Symbol" w:hAnsi="Symbol" w:hint="default"/>
        <w:b w:val="0"/>
        <w:strike w:val="0"/>
        <w:color w:val="365F9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29"/>
        </w:tabs>
        <w:ind w:left="685" w:firstLine="1584"/>
      </w:pPr>
      <w:rPr>
        <w:rFonts w:hint="default"/>
        <w:b w:val="0"/>
        <w:bCs w:val="0"/>
        <w:i w:val="0"/>
        <w:iCs w:val="0"/>
        <w:color w:val="365F91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6F137D33"/>
    <w:multiLevelType w:val="hybridMultilevel"/>
    <w:tmpl w:val="B934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04851"/>
    <w:multiLevelType w:val="hybridMultilevel"/>
    <w:tmpl w:val="179AE312"/>
    <w:lvl w:ilvl="0" w:tplc="1E888EE8">
      <w:start w:val="1"/>
      <w:numFmt w:val="bullet"/>
      <w:pStyle w:val="List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aps w:val="0"/>
        <w:strike w:val="0"/>
        <w:dstrike w:val="0"/>
        <w:vanish w:val="0"/>
        <w:color w:val="80808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D6BD2"/>
    <w:multiLevelType w:val="hybridMultilevel"/>
    <w:tmpl w:val="69F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04"/>
    <w:rsid w:val="00005A22"/>
    <w:rsid w:val="00005CFD"/>
    <w:rsid w:val="0001214C"/>
    <w:rsid w:val="00013B52"/>
    <w:rsid w:val="00015374"/>
    <w:rsid w:val="00016812"/>
    <w:rsid w:val="00031A8F"/>
    <w:rsid w:val="00032405"/>
    <w:rsid w:val="0003654A"/>
    <w:rsid w:val="00042CF0"/>
    <w:rsid w:val="00047DAA"/>
    <w:rsid w:val="000561A6"/>
    <w:rsid w:val="00064087"/>
    <w:rsid w:val="0007054C"/>
    <w:rsid w:val="00076131"/>
    <w:rsid w:val="0009527E"/>
    <w:rsid w:val="000A0112"/>
    <w:rsid w:val="000B53A4"/>
    <w:rsid w:val="000C0743"/>
    <w:rsid w:val="000C5CDD"/>
    <w:rsid w:val="000D365E"/>
    <w:rsid w:val="000D4982"/>
    <w:rsid w:val="000E30D6"/>
    <w:rsid w:val="000E655D"/>
    <w:rsid w:val="000F73B6"/>
    <w:rsid w:val="001033D7"/>
    <w:rsid w:val="001122A0"/>
    <w:rsid w:val="00125F32"/>
    <w:rsid w:val="0013426C"/>
    <w:rsid w:val="00134A51"/>
    <w:rsid w:val="001367B4"/>
    <w:rsid w:val="00143E8E"/>
    <w:rsid w:val="001445FE"/>
    <w:rsid w:val="00144B92"/>
    <w:rsid w:val="00151D30"/>
    <w:rsid w:val="00154209"/>
    <w:rsid w:val="001616E9"/>
    <w:rsid w:val="001656EE"/>
    <w:rsid w:val="0017013E"/>
    <w:rsid w:val="00177248"/>
    <w:rsid w:val="001778E6"/>
    <w:rsid w:val="00182F99"/>
    <w:rsid w:val="00185DB7"/>
    <w:rsid w:val="00192376"/>
    <w:rsid w:val="001950AC"/>
    <w:rsid w:val="001A292A"/>
    <w:rsid w:val="001A31ED"/>
    <w:rsid w:val="001C0CDE"/>
    <w:rsid w:val="001C11E8"/>
    <w:rsid w:val="001C4C77"/>
    <w:rsid w:val="001C54C5"/>
    <w:rsid w:val="001C5F5D"/>
    <w:rsid w:val="001D0463"/>
    <w:rsid w:val="001D5949"/>
    <w:rsid w:val="001D7585"/>
    <w:rsid w:val="001E284D"/>
    <w:rsid w:val="001E653A"/>
    <w:rsid w:val="001E666B"/>
    <w:rsid w:val="001E6A0D"/>
    <w:rsid w:val="001F2101"/>
    <w:rsid w:val="001F42FF"/>
    <w:rsid w:val="001F56B0"/>
    <w:rsid w:val="002007AE"/>
    <w:rsid w:val="002058D9"/>
    <w:rsid w:val="0021087D"/>
    <w:rsid w:val="00214AB5"/>
    <w:rsid w:val="00224C0E"/>
    <w:rsid w:val="00225BB7"/>
    <w:rsid w:val="002263B1"/>
    <w:rsid w:val="002338E9"/>
    <w:rsid w:val="00234190"/>
    <w:rsid w:val="0024289E"/>
    <w:rsid w:val="00243A93"/>
    <w:rsid w:val="002616FA"/>
    <w:rsid w:val="00276F8D"/>
    <w:rsid w:val="00287C88"/>
    <w:rsid w:val="002B0ACB"/>
    <w:rsid w:val="002B4AD5"/>
    <w:rsid w:val="002C7F85"/>
    <w:rsid w:val="002D49E9"/>
    <w:rsid w:val="002D4E5C"/>
    <w:rsid w:val="002D4E80"/>
    <w:rsid w:val="002D7A81"/>
    <w:rsid w:val="002E1DA1"/>
    <w:rsid w:val="002E3223"/>
    <w:rsid w:val="002E5F0C"/>
    <w:rsid w:val="002E63C9"/>
    <w:rsid w:val="002F3D8B"/>
    <w:rsid w:val="002F3F8A"/>
    <w:rsid w:val="002F59FB"/>
    <w:rsid w:val="002F7BF5"/>
    <w:rsid w:val="003473C9"/>
    <w:rsid w:val="00352CBD"/>
    <w:rsid w:val="003657FB"/>
    <w:rsid w:val="00366BEB"/>
    <w:rsid w:val="00371A35"/>
    <w:rsid w:val="00381CEA"/>
    <w:rsid w:val="0039504E"/>
    <w:rsid w:val="003B0268"/>
    <w:rsid w:val="003C3F7A"/>
    <w:rsid w:val="003C7646"/>
    <w:rsid w:val="003E0AD8"/>
    <w:rsid w:val="003F33EC"/>
    <w:rsid w:val="003F6E9E"/>
    <w:rsid w:val="00401FCB"/>
    <w:rsid w:val="004041E0"/>
    <w:rsid w:val="00413E54"/>
    <w:rsid w:val="00415FA8"/>
    <w:rsid w:val="00417296"/>
    <w:rsid w:val="00426CC3"/>
    <w:rsid w:val="0043029A"/>
    <w:rsid w:val="00433120"/>
    <w:rsid w:val="00441025"/>
    <w:rsid w:val="00442E21"/>
    <w:rsid w:val="00451B46"/>
    <w:rsid w:val="00462293"/>
    <w:rsid w:val="00465C6B"/>
    <w:rsid w:val="00470B94"/>
    <w:rsid w:val="00481EE9"/>
    <w:rsid w:val="00483627"/>
    <w:rsid w:val="00492E8B"/>
    <w:rsid w:val="004A3FDF"/>
    <w:rsid w:val="004B18A3"/>
    <w:rsid w:val="004C2A6B"/>
    <w:rsid w:val="004C57B5"/>
    <w:rsid w:val="004D2C3B"/>
    <w:rsid w:val="004D507B"/>
    <w:rsid w:val="004E112B"/>
    <w:rsid w:val="004E3E42"/>
    <w:rsid w:val="004E7582"/>
    <w:rsid w:val="004F0D0E"/>
    <w:rsid w:val="005021F6"/>
    <w:rsid w:val="00503EF4"/>
    <w:rsid w:val="0051082D"/>
    <w:rsid w:val="00512064"/>
    <w:rsid w:val="00514E6B"/>
    <w:rsid w:val="005237D8"/>
    <w:rsid w:val="0052634E"/>
    <w:rsid w:val="0054242A"/>
    <w:rsid w:val="00543B88"/>
    <w:rsid w:val="00562E30"/>
    <w:rsid w:val="00564520"/>
    <w:rsid w:val="005651E8"/>
    <w:rsid w:val="00573912"/>
    <w:rsid w:val="00580F25"/>
    <w:rsid w:val="0058157A"/>
    <w:rsid w:val="0058612F"/>
    <w:rsid w:val="00594F95"/>
    <w:rsid w:val="005B35AB"/>
    <w:rsid w:val="005C2308"/>
    <w:rsid w:val="005C24F3"/>
    <w:rsid w:val="005C6788"/>
    <w:rsid w:val="005D0160"/>
    <w:rsid w:val="005D2AC7"/>
    <w:rsid w:val="005D5F35"/>
    <w:rsid w:val="005E0106"/>
    <w:rsid w:val="005E3E15"/>
    <w:rsid w:val="005F53E5"/>
    <w:rsid w:val="00603336"/>
    <w:rsid w:val="006066C5"/>
    <w:rsid w:val="00607E51"/>
    <w:rsid w:val="006103BC"/>
    <w:rsid w:val="00616A2C"/>
    <w:rsid w:val="00620FCF"/>
    <w:rsid w:val="00636528"/>
    <w:rsid w:val="00641F05"/>
    <w:rsid w:val="006466BF"/>
    <w:rsid w:val="0065537C"/>
    <w:rsid w:val="00664168"/>
    <w:rsid w:val="006847DC"/>
    <w:rsid w:val="006866E5"/>
    <w:rsid w:val="00696C02"/>
    <w:rsid w:val="006A0EAF"/>
    <w:rsid w:val="006A11DD"/>
    <w:rsid w:val="006A5870"/>
    <w:rsid w:val="006B5104"/>
    <w:rsid w:val="006C5E61"/>
    <w:rsid w:val="006C69BB"/>
    <w:rsid w:val="006F0A99"/>
    <w:rsid w:val="00710001"/>
    <w:rsid w:val="00710278"/>
    <w:rsid w:val="00710E4A"/>
    <w:rsid w:val="007121EA"/>
    <w:rsid w:val="007216BA"/>
    <w:rsid w:val="00736610"/>
    <w:rsid w:val="0074595B"/>
    <w:rsid w:val="007514D3"/>
    <w:rsid w:val="007710AD"/>
    <w:rsid w:val="00771207"/>
    <w:rsid w:val="00774AB3"/>
    <w:rsid w:val="00780BE9"/>
    <w:rsid w:val="00784072"/>
    <w:rsid w:val="0078630E"/>
    <w:rsid w:val="00797497"/>
    <w:rsid w:val="007B73F5"/>
    <w:rsid w:val="007B7EBF"/>
    <w:rsid w:val="007C283D"/>
    <w:rsid w:val="007C4557"/>
    <w:rsid w:val="007D0654"/>
    <w:rsid w:val="007E209E"/>
    <w:rsid w:val="007E3E45"/>
    <w:rsid w:val="00812658"/>
    <w:rsid w:val="008132EF"/>
    <w:rsid w:val="00824A8E"/>
    <w:rsid w:val="0082588D"/>
    <w:rsid w:val="008374BA"/>
    <w:rsid w:val="00840129"/>
    <w:rsid w:val="00843935"/>
    <w:rsid w:val="00850B4E"/>
    <w:rsid w:val="008549DE"/>
    <w:rsid w:val="00855EDD"/>
    <w:rsid w:val="0086444C"/>
    <w:rsid w:val="00884B70"/>
    <w:rsid w:val="008A320D"/>
    <w:rsid w:val="008B1368"/>
    <w:rsid w:val="008C39F1"/>
    <w:rsid w:val="008C3A96"/>
    <w:rsid w:val="008C6FA0"/>
    <w:rsid w:val="008C6FB7"/>
    <w:rsid w:val="008E0F9C"/>
    <w:rsid w:val="008E21DB"/>
    <w:rsid w:val="008F6A16"/>
    <w:rsid w:val="00900D03"/>
    <w:rsid w:val="009018EC"/>
    <w:rsid w:val="0090402C"/>
    <w:rsid w:val="00905C75"/>
    <w:rsid w:val="00911E00"/>
    <w:rsid w:val="00914076"/>
    <w:rsid w:val="00915677"/>
    <w:rsid w:val="0091798A"/>
    <w:rsid w:val="00920079"/>
    <w:rsid w:val="00934D1F"/>
    <w:rsid w:val="0095073A"/>
    <w:rsid w:val="009520A6"/>
    <w:rsid w:val="00954C98"/>
    <w:rsid w:val="00957291"/>
    <w:rsid w:val="00967D69"/>
    <w:rsid w:val="00970A8D"/>
    <w:rsid w:val="00976D61"/>
    <w:rsid w:val="009836C0"/>
    <w:rsid w:val="00992BEA"/>
    <w:rsid w:val="009B01FB"/>
    <w:rsid w:val="009C5097"/>
    <w:rsid w:val="009D0561"/>
    <w:rsid w:val="009E51C8"/>
    <w:rsid w:val="009F256E"/>
    <w:rsid w:val="009F5AA7"/>
    <w:rsid w:val="00A0130E"/>
    <w:rsid w:val="00A03869"/>
    <w:rsid w:val="00A06A61"/>
    <w:rsid w:val="00A37BA3"/>
    <w:rsid w:val="00A505DF"/>
    <w:rsid w:val="00A513E7"/>
    <w:rsid w:val="00A5653C"/>
    <w:rsid w:val="00A62A12"/>
    <w:rsid w:val="00A703D1"/>
    <w:rsid w:val="00A809F3"/>
    <w:rsid w:val="00A84AD7"/>
    <w:rsid w:val="00A903B4"/>
    <w:rsid w:val="00A9602A"/>
    <w:rsid w:val="00AA23A3"/>
    <w:rsid w:val="00AA3662"/>
    <w:rsid w:val="00AA72F0"/>
    <w:rsid w:val="00AC4A69"/>
    <w:rsid w:val="00AC4C1F"/>
    <w:rsid w:val="00AE0353"/>
    <w:rsid w:val="00AE3F23"/>
    <w:rsid w:val="00AF11A8"/>
    <w:rsid w:val="00B009F9"/>
    <w:rsid w:val="00B0775A"/>
    <w:rsid w:val="00B13699"/>
    <w:rsid w:val="00B24CF0"/>
    <w:rsid w:val="00B46B75"/>
    <w:rsid w:val="00B4754C"/>
    <w:rsid w:val="00B70F80"/>
    <w:rsid w:val="00B71653"/>
    <w:rsid w:val="00B74C03"/>
    <w:rsid w:val="00B81F4C"/>
    <w:rsid w:val="00B91FCF"/>
    <w:rsid w:val="00B93349"/>
    <w:rsid w:val="00BA2821"/>
    <w:rsid w:val="00BA3FB0"/>
    <w:rsid w:val="00BB4009"/>
    <w:rsid w:val="00BB4FDF"/>
    <w:rsid w:val="00BC11F9"/>
    <w:rsid w:val="00BC4F1A"/>
    <w:rsid w:val="00BC50EE"/>
    <w:rsid w:val="00BC7243"/>
    <w:rsid w:val="00BD203E"/>
    <w:rsid w:val="00BE255D"/>
    <w:rsid w:val="00BE6C5E"/>
    <w:rsid w:val="00BE6C7C"/>
    <w:rsid w:val="00C039C8"/>
    <w:rsid w:val="00C04848"/>
    <w:rsid w:val="00C23EED"/>
    <w:rsid w:val="00C24514"/>
    <w:rsid w:val="00C25386"/>
    <w:rsid w:val="00C31FB7"/>
    <w:rsid w:val="00C35622"/>
    <w:rsid w:val="00C46B14"/>
    <w:rsid w:val="00C541D5"/>
    <w:rsid w:val="00C6726A"/>
    <w:rsid w:val="00C73746"/>
    <w:rsid w:val="00C84859"/>
    <w:rsid w:val="00C94E16"/>
    <w:rsid w:val="00C96C23"/>
    <w:rsid w:val="00C97AF1"/>
    <w:rsid w:val="00CA2CCA"/>
    <w:rsid w:val="00CA7944"/>
    <w:rsid w:val="00CB5746"/>
    <w:rsid w:val="00CC3DB3"/>
    <w:rsid w:val="00CD035E"/>
    <w:rsid w:val="00CD5F31"/>
    <w:rsid w:val="00CD76AB"/>
    <w:rsid w:val="00CE0B3A"/>
    <w:rsid w:val="00CF6DEF"/>
    <w:rsid w:val="00D03482"/>
    <w:rsid w:val="00D06082"/>
    <w:rsid w:val="00D15E89"/>
    <w:rsid w:val="00D34EC0"/>
    <w:rsid w:val="00D41F8A"/>
    <w:rsid w:val="00D4364B"/>
    <w:rsid w:val="00D504F3"/>
    <w:rsid w:val="00D707E4"/>
    <w:rsid w:val="00D70B3F"/>
    <w:rsid w:val="00D72A44"/>
    <w:rsid w:val="00D76674"/>
    <w:rsid w:val="00D76ACC"/>
    <w:rsid w:val="00D81A0B"/>
    <w:rsid w:val="00D83434"/>
    <w:rsid w:val="00DA4989"/>
    <w:rsid w:val="00DB11C5"/>
    <w:rsid w:val="00DC65E2"/>
    <w:rsid w:val="00DC7CAB"/>
    <w:rsid w:val="00DD0B70"/>
    <w:rsid w:val="00DD2849"/>
    <w:rsid w:val="00DD58CC"/>
    <w:rsid w:val="00DE2BE9"/>
    <w:rsid w:val="00DE462E"/>
    <w:rsid w:val="00DF7C9F"/>
    <w:rsid w:val="00E03802"/>
    <w:rsid w:val="00E1281A"/>
    <w:rsid w:val="00E169D2"/>
    <w:rsid w:val="00E1788D"/>
    <w:rsid w:val="00E2330A"/>
    <w:rsid w:val="00E308FD"/>
    <w:rsid w:val="00E35454"/>
    <w:rsid w:val="00E36EFB"/>
    <w:rsid w:val="00E37D55"/>
    <w:rsid w:val="00E401C3"/>
    <w:rsid w:val="00E40DF3"/>
    <w:rsid w:val="00E44A01"/>
    <w:rsid w:val="00E456BA"/>
    <w:rsid w:val="00E45DF2"/>
    <w:rsid w:val="00E47980"/>
    <w:rsid w:val="00E54FA4"/>
    <w:rsid w:val="00E70982"/>
    <w:rsid w:val="00E80637"/>
    <w:rsid w:val="00E917C5"/>
    <w:rsid w:val="00EA16BD"/>
    <w:rsid w:val="00EA1A21"/>
    <w:rsid w:val="00EA575E"/>
    <w:rsid w:val="00EA640B"/>
    <w:rsid w:val="00EB0BD8"/>
    <w:rsid w:val="00EB1D37"/>
    <w:rsid w:val="00EB292D"/>
    <w:rsid w:val="00EC178E"/>
    <w:rsid w:val="00ED3974"/>
    <w:rsid w:val="00ED7913"/>
    <w:rsid w:val="00EE63A8"/>
    <w:rsid w:val="00F02822"/>
    <w:rsid w:val="00F04A56"/>
    <w:rsid w:val="00F05092"/>
    <w:rsid w:val="00F0523E"/>
    <w:rsid w:val="00F05A41"/>
    <w:rsid w:val="00F10002"/>
    <w:rsid w:val="00F12496"/>
    <w:rsid w:val="00F173A3"/>
    <w:rsid w:val="00F37746"/>
    <w:rsid w:val="00F4444E"/>
    <w:rsid w:val="00F4754E"/>
    <w:rsid w:val="00F478DB"/>
    <w:rsid w:val="00F57E04"/>
    <w:rsid w:val="00F72CA2"/>
    <w:rsid w:val="00F72F79"/>
    <w:rsid w:val="00F73182"/>
    <w:rsid w:val="00F83042"/>
    <w:rsid w:val="00F8707F"/>
    <w:rsid w:val="00F93D48"/>
    <w:rsid w:val="00FB6884"/>
    <w:rsid w:val="00FC2AEE"/>
    <w:rsid w:val="00FC3640"/>
    <w:rsid w:val="00FC66F3"/>
    <w:rsid w:val="00FD1B8D"/>
    <w:rsid w:val="00FE2E12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7E04"/>
    <w:pPr>
      <w:spacing w:after="0" w:line="240" w:lineRule="auto"/>
    </w:pPr>
    <w:rPr>
      <w:rFonts w:ascii="Tahoma" w:eastAsia="Times New Roman" w:hAnsi="Tahoma" w:cs="Tahoma"/>
      <w:bCs/>
      <w:sz w:val="24"/>
      <w:szCs w:val="24"/>
      <w:lang w:eastAsia="en-US"/>
    </w:rPr>
  </w:style>
  <w:style w:type="paragraph" w:styleId="Heading1">
    <w:name w:val="heading 1"/>
    <w:basedOn w:val="Normal"/>
    <w:next w:val="NormalIndent"/>
    <w:link w:val="Heading1Char"/>
    <w:qFormat/>
    <w:rsid w:val="00F57E04"/>
    <w:pPr>
      <w:numPr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line="240" w:lineRule="atLeast"/>
      <w:textAlignment w:val="baseline"/>
      <w:outlineLvl w:val="0"/>
    </w:pPr>
    <w:rPr>
      <w:rFonts w:ascii="Arial" w:hAnsi="Arial" w:cs="Times New Roman"/>
      <w:b/>
      <w:bCs w:val="0"/>
      <w:sz w:val="22"/>
      <w:szCs w:val="20"/>
      <w:lang w:val="en-US"/>
    </w:rPr>
  </w:style>
  <w:style w:type="paragraph" w:styleId="Heading2">
    <w:name w:val="heading 2"/>
    <w:basedOn w:val="Heading1"/>
    <w:next w:val="NormalIndent"/>
    <w:link w:val="Heading2Char"/>
    <w:qFormat/>
    <w:rsid w:val="00F57E04"/>
    <w:pPr>
      <w:numPr>
        <w:ilvl w:val="1"/>
      </w:numPr>
      <w:outlineLvl w:val="1"/>
    </w:pPr>
  </w:style>
  <w:style w:type="paragraph" w:styleId="Heading3">
    <w:name w:val="heading 3"/>
    <w:basedOn w:val="Heading1"/>
    <w:next w:val="NormalIndent"/>
    <w:link w:val="Heading3Char"/>
    <w:qFormat/>
    <w:rsid w:val="00F57E04"/>
    <w:pPr>
      <w:numPr>
        <w:ilvl w:val="2"/>
      </w:numPr>
      <w:outlineLvl w:val="2"/>
    </w:pPr>
  </w:style>
  <w:style w:type="paragraph" w:styleId="Heading4">
    <w:name w:val="heading 4"/>
    <w:basedOn w:val="Heading1"/>
    <w:next w:val="NormalIndent"/>
    <w:link w:val="Heading4Char"/>
    <w:qFormat/>
    <w:rsid w:val="00F57E04"/>
    <w:pPr>
      <w:numPr>
        <w:ilvl w:val="3"/>
      </w:numPr>
      <w:outlineLvl w:val="3"/>
    </w:pPr>
  </w:style>
  <w:style w:type="paragraph" w:styleId="Heading5">
    <w:name w:val="heading 5"/>
    <w:basedOn w:val="Heading1"/>
    <w:next w:val="NormalIndent"/>
    <w:link w:val="Heading5Char"/>
    <w:qFormat/>
    <w:rsid w:val="00F57E04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F57E04"/>
    <w:pPr>
      <w:numPr>
        <w:ilvl w:val="5"/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 w:cs="Times New Roman"/>
      <w:bCs w:val="0"/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57E04"/>
    <w:pPr>
      <w:numPr>
        <w:ilvl w:val="6"/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6"/>
    </w:pPr>
    <w:rPr>
      <w:rFonts w:ascii="Arial" w:hAnsi="Arial" w:cs="Times New Roman"/>
      <w:bCs w:val="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57E04"/>
    <w:pPr>
      <w:numPr>
        <w:ilvl w:val="7"/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7"/>
    </w:pPr>
    <w:rPr>
      <w:rFonts w:ascii="Arial" w:hAnsi="Arial" w:cs="Times New Roman"/>
      <w:bCs w:val="0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F57E04"/>
    <w:pPr>
      <w:numPr>
        <w:ilvl w:val="8"/>
        <w:numId w:val="1"/>
      </w:num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8"/>
    </w:pPr>
    <w:rPr>
      <w:rFonts w:ascii="Arial" w:hAnsi="Arial" w:cs="Times New Roman"/>
      <w:bCs w:val="0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57E04"/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57E04"/>
    <w:rPr>
      <w:rFonts w:ascii="Arial" w:eastAsia="Times New Roman" w:hAnsi="Arial" w:cs="Times New Roman"/>
      <w:i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57E04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F57E04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F57E04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styleId="Header">
    <w:name w:val="header"/>
    <w:basedOn w:val="Normal"/>
    <w:link w:val="HeaderChar"/>
    <w:rsid w:val="00F57E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7E04"/>
    <w:rPr>
      <w:rFonts w:ascii="Tahoma" w:eastAsia="Times New Roman" w:hAnsi="Tahoma" w:cs="Tahoma"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57E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E04"/>
    <w:rPr>
      <w:rFonts w:ascii="Tahoma" w:eastAsia="Times New Roman" w:hAnsi="Tahoma" w:cs="Tahoma"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57E04"/>
    <w:pPr>
      <w:tabs>
        <w:tab w:val="left" w:pos="1418"/>
        <w:tab w:val="left" w:pos="2552"/>
        <w:tab w:val="left" w:pos="3686"/>
        <w:tab w:val="left" w:pos="4820"/>
        <w:tab w:val="left" w:pos="5954"/>
        <w:tab w:val="left" w:pos="7088"/>
        <w:tab w:val="left" w:pos="8222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57E04"/>
    <w:rPr>
      <w:rFonts w:ascii="Arial" w:eastAsia="Times New Roman" w:hAnsi="Arial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57E04"/>
    <w:pPr>
      <w:ind w:left="720"/>
    </w:pPr>
  </w:style>
  <w:style w:type="table" w:styleId="TableGrid">
    <w:name w:val="Table Grid"/>
    <w:basedOn w:val="TableNormal"/>
    <w:rsid w:val="00F57E04"/>
    <w:pPr>
      <w:spacing w:after="130" w:line="280" w:lineRule="atLeast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reGavList">
    <w:name w:val="KreGavList"/>
    <w:uiPriority w:val="99"/>
    <w:rsid w:val="00F57E04"/>
    <w:pPr>
      <w:numPr>
        <w:numId w:val="2"/>
      </w:numPr>
    </w:pPr>
  </w:style>
  <w:style w:type="paragraph" w:styleId="NormalIndent">
    <w:name w:val="Normal Indent"/>
    <w:basedOn w:val="Normal"/>
    <w:link w:val="NormalIndentChar"/>
    <w:unhideWhenUsed/>
    <w:rsid w:val="00F57E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E0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04"/>
    <w:rPr>
      <w:rFonts w:ascii="Tahoma" w:eastAsia="Times New Roman" w:hAnsi="Tahoma" w:cs="Tahoma"/>
      <w:bCs/>
      <w:sz w:val="16"/>
      <w:szCs w:val="16"/>
      <w:lang w:eastAsia="en-US"/>
    </w:rPr>
  </w:style>
  <w:style w:type="character" w:styleId="Hyperlink">
    <w:name w:val="Hyperlink"/>
    <w:uiPriority w:val="99"/>
    <w:rsid w:val="008C6FB7"/>
    <w:rPr>
      <w:color w:val="00759A"/>
      <w:u w:val="none"/>
    </w:rPr>
  </w:style>
  <w:style w:type="paragraph" w:styleId="TOC1">
    <w:name w:val="toc 1"/>
    <w:next w:val="TOC2"/>
    <w:autoRedefine/>
    <w:uiPriority w:val="39"/>
    <w:rsid w:val="008C6FB7"/>
    <w:pPr>
      <w:tabs>
        <w:tab w:val="left" w:pos="454"/>
        <w:tab w:val="right" w:leader="dot" w:pos="9072"/>
      </w:tabs>
      <w:spacing w:before="240" w:after="120" w:line="240" w:lineRule="auto"/>
    </w:pPr>
    <w:rPr>
      <w:rFonts w:ascii="Arial" w:eastAsia="Times New Roman" w:hAnsi="Arial" w:cs="Times New Roman"/>
      <w:b/>
      <w:color w:val="00759A"/>
      <w:szCs w:val="24"/>
      <w:lang w:eastAsia="en-AU"/>
    </w:rPr>
  </w:style>
  <w:style w:type="paragraph" w:styleId="TOC2">
    <w:name w:val="toc 2"/>
    <w:next w:val="TOC3"/>
    <w:autoRedefine/>
    <w:uiPriority w:val="39"/>
    <w:rsid w:val="008C6FB7"/>
    <w:pPr>
      <w:tabs>
        <w:tab w:val="left" w:pos="1100"/>
        <w:tab w:val="right" w:leader="dot" w:pos="9072"/>
      </w:tabs>
      <w:spacing w:after="120" w:line="240" w:lineRule="auto"/>
      <w:ind w:left="454"/>
    </w:pPr>
    <w:rPr>
      <w:rFonts w:ascii="Arial" w:eastAsia="Times New Roman" w:hAnsi="Arial" w:cs="Times New Roman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C6FB7"/>
    <w:pPr>
      <w:spacing w:after="100"/>
      <w:ind w:left="480"/>
    </w:pPr>
  </w:style>
  <w:style w:type="character" w:styleId="PageNumber">
    <w:name w:val="page number"/>
    <w:rsid w:val="00031A8F"/>
    <w:rPr>
      <w:rFonts w:ascii="Arial" w:hAnsi="Arial"/>
      <w:b/>
      <w:sz w:val="14"/>
    </w:rPr>
  </w:style>
  <w:style w:type="paragraph" w:styleId="ListBullet">
    <w:name w:val="List Bullet"/>
    <w:basedOn w:val="BodyText"/>
    <w:rsid w:val="00031A8F"/>
    <w:pPr>
      <w:numPr>
        <w:numId w:val="3"/>
      </w:numPr>
      <w:tabs>
        <w:tab w:val="clear" w:pos="1418"/>
        <w:tab w:val="clear" w:pos="2552"/>
        <w:tab w:val="clear" w:pos="3686"/>
        <w:tab w:val="clear" w:pos="4820"/>
        <w:tab w:val="clear" w:pos="5954"/>
        <w:tab w:val="clear" w:pos="7088"/>
        <w:tab w:val="clear" w:pos="8222"/>
      </w:tabs>
      <w:overflowPunct/>
      <w:autoSpaceDE/>
      <w:autoSpaceDN/>
      <w:adjustRightInd/>
      <w:spacing w:after="120" w:line="264" w:lineRule="auto"/>
      <w:textAlignment w:val="auto"/>
    </w:pPr>
    <w:rPr>
      <w:rFonts w:cs="Arial"/>
      <w:szCs w:val="24"/>
      <w:lang w:val="en-AU" w:eastAsia="en-AU"/>
    </w:rPr>
  </w:style>
  <w:style w:type="paragraph" w:styleId="PlainText">
    <w:name w:val="Plain Text"/>
    <w:basedOn w:val="Normal"/>
    <w:link w:val="PlainTextChar"/>
    <w:semiHidden/>
    <w:unhideWhenUsed/>
    <w:rsid w:val="00F12496"/>
    <w:rPr>
      <w:rFonts w:ascii="Courier New" w:hAnsi="Courier New" w:cs="Courier New"/>
      <w:bCs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F12496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NormalIndentChar">
    <w:name w:val="Normal Indent Char"/>
    <w:link w:val="NormalIndent"/>
    <w:locked/>
    <w:rsid w:val="006066C5"/>
    <w:rPr>
      <w:rFonts w:ascii="Tahoma" w:eastAsia="Times New Roman" w:hAnsi="Tahoma" w:cs="Tahoma"/>
      <w:bCs/>
      <w:sz w:val="24"/>
      <w:szCs w:val="24"/>
      <w:lang w:eastAsia="en-US"/>
    </w:rPr>
  </w:style>
  <w:style w:type="character" w:customStyle="1" w:styleId="fontstyle01">
    <w:name w:val="fontstyle01"/>
    <w:basedOn w:val="DefaultParagraphFont"/>
    <w:rsid w:val="00413E54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413E5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13E5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3E54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651E8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BB4009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5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F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F5D"/>
    <w:rPr>
      <w:rFonts w:ascii="Tahoma" w:eastAsia="Times New Roman" w:hAnsi="Tahoma" w:cs="Tahoma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F5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F5D"/>
    <w:rPr>
      <w:rFonts w:ascii="Tahoma" w:eastAsia="Times New Roman" w:hAnsi="Tahoma" w:cs="Tahoma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05A22"/>
    <w:pPr>
      <w:spacing w:after="0" w:line="240" w:lineRule="auto"/>
    </w:pPr>
    <w:rPr>
      <w:rFonts w:ascii="Tahoma" w:eastAsia="Times New Roman" w:hAnsi="Tahoma" w:cs="Tahoma"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5E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5EDD"/>
    <w:rPr>
      <w:rFonts w:ascii="Tahoma" w:eastAsia="Times New Roman" w:hAnsi="Tahoma" w:cs="Tahoma"/>
      <w:bCs/>
      <w:sz w:val="24"/>
      <w:szCs w:val="24"/>
      <w:lang w:eastAsia="en-US"/>
    </w:rPr>
  </w:style>
  <w:style w:type="paragraph" w:customStyle="1" w:styleId="level1">
    <w:name w:val="level 1"/>
    <w:basedOn w:val="Heading1"/>
    <w:rsid w:val="002007AE"/>
    <w:pPr>
      <w:keepNext/>
      <w:keepLines/>
      <w:numPr>
        <w:numId w:val="4"/>
      </w:numPr>
      <w:pBdr>
        <w:bottom w:val="single" w:sz="4" w:space="1" w:color="auto"/>
      </w:pBdr>
      <w:tabs>
        <w:tab w:val="clear" w:pos="1418"/>
        <w:tab w:val="clear" w:pos="2552"/>
        <w:tab w:val="clear" w:pos="3686"/>
        <w:tab w:val="clear" w:pos="4820"/>
        <w:tab w:val="clear" w:pos="5954"/>
        <w:tab w:val="clear" w:pos="7088"/>
        <w:tab w:val="clear" w:pos="8222"/>
        <w:tab w:val="right" w:pos="9360"/>
      </w:tabs>
      <w:overflowPunct/>
      <w:autoSpaceDE/>
      <w:autoSpaceDN/>
      <w:adjustRightInd/>
      <w:spacing w:before="360" w:after="120" w:line="276" w:lineRule="auto"/>
      <w:textAlignment w:val="auto"/>
    </w:pPr>
    <w:rPr>
      <w:rFonts w:ascii="Times New Roman" w:hAnsi="Times New Roman"/>
      <w:bCs/>
      <w:caps/>
      <w:color w:val="365F91"/>
      <w:kern w:val="28"/>
      <w:sz w:val="24"/>
      <w:szCs w:val="24"/>
      <w:lang w:val="de-DE"/>
    </w:rPr>
  </w:style>
  <w:style w:type="paragraph" w:customStyle="1" w:styleId="Level2">
    <w:name w:val="Level 2"/>
    <w:basedOn w:val="Normal"/>
    <w:rsid w:val="002007AE"/>
    <w:pPr>
      <w:numPr>
        <w:ilvl w:val="1"/>
        <w:numId w:val="4"/>
      </w:numPr>
      <w:tabs>
        <w:tab w:val="clear" w:pos="666"/>
        <w:tab w:val="left" w:pos="576"/>
      </w:tabs>
      <w:spacing w:before="240" w:after="120" w:line="276" w:lineRule="auto"/>
      <w:ind w:left="1440" w:hanging="360"/>
      <w:outlineLvl w:val="1"/>
    </w:pPr>
    <w:rPr>
      <w:rFonts w:ascii="Calibri" w:hAnsi="Calibri" w:cs="Times New Roman"/>
      <w:bCs w:val="0"/>
      <w:sz w:val="22"/>
      <w:szCs w:val="22"/>
      <w:u w:val="single"/>
      <w:lang w:val="de-DE"/>
    </w:rPr>
  </w:style>
  <w:style w:type="paragraph" w:customStyle="1" w:styleId="Level3">
    <w:name w:val="Level 3"/>
    <w:basedOn w:val="Heading3"/>
    <w:rsid w:val="002007AE"/>
    <w:pPr>
      <w:keepLines/>
      <w:numPr>
        <w:numId w:val="4"/>
      </w:numPr>
      <w:tabs>
        <w:tab w:val="clear" w:pos="1296"/>
        <w:tab w:val="clear" w:pos="1418"/>
        <w:tab w:val="clear" w:pos="2552"/>
        <w:tab w:val="clear" w:pos="3686"/>
        <w:tab w:val="clear" w:pos="4820"/>
        <w:tab w:val="clear" w:pos="5954"/>
        <w:tab w:val="clear" w:pos="7088"/>
        <w:tab w:val="clear" w:pos="8222"/>
        <w:tab w:val="num" w:pos="360"/>
      </w:tabs>
      <w:overflowPunct/>
      <w:autoSpaceDE/>
      <w:autoSpaceDN/>
      <w:adjustRightInd/>
      <w:spacing w:before="120" w:after="120" w:line="276" w:lineRule="auto"/>
      <w:ind w:left="0" w:firstLine="0"/>
      <w:textAlignment w:val="auto"/>
    </w:pPr>
    <w:rPr>
      <w:rFonts w:ascii="Times New Roman" w:hAnsi="Times New Roman"/>
      <w:b w:val="0"/>
      <w:color w:val="000000"/>
      <w:sz w:val="16"/>
      <w:szCs w:val="16"/>
      <w:lang w:val="de-DE"/>
    </w:rPr>
  </w:style>
  <w:style w:type="paragraph" w:customStyle="1" w:styleId="Level4">
    <w:name w:val="Level 4"/>
    <w:basedOn w:val="Heading4"/>
    <w:rsid w:val="002007AE"/>
    <w:pPr>
      <w:keepLines/>
      <w:numPr>
        <w:numId w:val="4"/>
      </w:numPr>
      <w:tabs>
        <w:tab w:val="clear" w:pos="1418"/>
        <w:tab w:val="clear" w:pos="2160"/>
        <w:tab w:val="clear" w:pos="2552"/>
        <w:tab w:val="clear" w:pos="3686"/>
        <w:tab w:val="clear" w:pos="4820"/>
        <w:tab w:val="clear" w:pos="5954"/>
        <w:tab w:val="clear" w:pos="7088"/>
        <w:tab w:val="clear" w:pos="8222"/>
        <w:tab w:val="num" w:pos="360"/>
      </w:tabs>
      <w:overflowPunct/>
      <w:autoSpaceDE/>
      <w:autoSpaceDN/>
      <w:adjustRightInd/>
      <w:spacing w:before="120" w:after="120" w:line="276" w:lineRule="auto"/>
      <w:ind w:left="0" w:firstLine="0"/>
      <w:textAlignment w:val="auto"/>
    </w:pPr>
    <w:rPr>
      <w:rFonts w:ascii="Calibri" w:hAnsi="Calibri"/>
      <w:b w:val="0"/>
      <w:i/>
      <w:iCs/>
      <w:color w:val="4F81BD"/>
      <w:sz w:val="16"/>
      <w:szCs w:val="16"/>
      <w:lang w:val="de-DE"/>
    </w:rPr>
  </w:style>
  <w:style w:type="paragraph" w:customStyle="1" w:styleId="Level5">
    <w:name w:val="Level 5"/>
    <w:basedOn w:val="Level4"/>
    <w:rsid w:val="002007AE"/>
    <w:pPr>
      <w:numPr>
        <w:ilvl w:val="4"/>
      </w:numPr>
      <w:tabs>
        <w:tab w:val="clear" w:pos="2520"/>
        <w:tab w:val="num" w:pos="360"/>
      </w:tabs>
      <w:spacing w:before="60" w:after="60"/>
      <w:ind w:left="3600" w:hanging="360"/>
    </w:pPr>
  </w:style>
  <w:style w:type="paragraph" w:customStyle="1" w:styleId="Level2CharChar1CharCharChar">
    <w:name w:val="Level 2 Char Char1 Char Char Char"/>
    <w:basedOn w:val="Normal"/>
    <w:autoRedefine/>
    <w:rsid w:val="002007AE"/>
    <w:pPr>
      <w:numPr>
        <w:ilvl w:val="1"/>
        <w:numId w:val="5"/>
      </w:numPr>
      <w:spacing w:after="120"/>
      <w:jc w:val="both"/>
      <w:outlineLvl w:val="2"/>
    </w:pPr>
    <w:rPr>
      <w:rFonts w:ascii="Calibri" w:hAnsi="Calibri" w:cs="Calibri"/>
      <w:color w:val="244061"/>
      <w:sz w:val="22"/>
      <w:szCs w:val="22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DF7C9F"/>
    <w:pPr>
      <w:widowControl w:val="0"/>
      <w:autoSpaceDE w:val="0"/>
      <w:autoSpaceDN w:val="0"/>
    </w:pPr>
    <w:rPr>
      <w:rFonts w:ascii="Calibri" w:eastAsia="Calibri" w:hAnsi="Calibri" w:cs="Calibri"/>
      <w:bCs w:val="0"/>
      <w:sz w:val="22"/>
      <w:szCs w:val="22"/>
      <w:lang w:val="en-US" w:bidi="en-US"/>
    </w:rPr>
  </w:style>
  <w:style w:type="paragraph" w:customStyle="1" w:styleId="Default">
    <w:name w:val="Default"/>
    <w:rsid w:val="00EA57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7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CF6D01D8FBC84CAD4CF73F4AD5B628010040216CB57DD45546BC56825960729D64" ma:contentTypeVersion="1028" ma:contentTypeDescription="" ma:contentTypeScope="" ma:versionID="34408de715c62d02c7f9048402e49073">
  <xsd:schema xmlns:xsd="http://www.w3.org/2001/XMLSchema" xmlns:xs="http://www.w3.org/2001/XMLSchema" xmlns:p="http://schemas.microsoft.com/office/2006/metadata/properties" xmlns:ns2="bdd5062b-ed78-4d8d-a262-aba3266b2a66" xmlns:ns3="38912669-1d17-45c4-951d-56146b673393" targetNamespace="http://schemas.microsoft.com/office/2006/metadata/properties" ma:root="true" ma:fieldsID="b46a53d54f59cce50eb7729daa454e48" ns2:_="" ns3:_="">
    <xsd:import namespace="bdd5062b-ed78-4d8d-a262-aba3266b2a66"/>
    <xsd:import namespace="38912669-1d17-45c4-951d-56146b67339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anResilient" minOccurs="0"/>
                <xsd:element ref="ns2:l2af3aa2ee0e4f38b988f1c804ec00dd" minOccurs="0"/>
                <xsd:element ref="ns2:nabd51adee274905a2298f857710e2b7" minOccurs="0"/>
                <xsd:element ref="ns2:anWorkstream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062b-ed78-4d8d-a262-aba3266b2a6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20d50e1-3ef5-46dd-a802-4fcaa44404fa}" ma:internalName="TaxCatchAll" ma:readOnly="false" ma:showField="CatchAllData" ma:web="bdd5062b-ed78-4d8d-a262-aba3266b2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20d50e1-3ef5-46dd-a802-4fcaa44404fa}" ma:internalName="TaxCatchAllLabel" ma:readOnly="true" ma:showField="CatchAllDataLabel" ma:web="bdd5062b-ed78-4d8d-a262-aba3266b2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Resilient" ma:index="10" nillable="true" ma:displayName="Resilient" ma:format="Dropdown" ma:internalName="anResilient" ma:readOnly="false">
      <xsd:simpleType>
        <xsd:restriction base="dms:Choice">
          <xsd:enumeration value="No"/>
          <xsd:enumeration value="Yes"/>
        </xsd:restriction>
      </xsd:simpleType>
    </xsd:element>
    <xsd:element name="l2af3aa2ee0e4f38b988f1c804ec00dd" ma:index="11" nillable="true" ma:taxonomy="true" ma:internalName="l2af3aa2ee0e4f38b988f1c804ec00dd" ma:taxonomyFieldName="anDocumentType" ma:displayName="DocumentType" ma:readOnly="false" ma:fieldId="{52af3aa2-ee0e-4f38-b988-f1c804ec00dd}" ma:sspId="69413e9b-8b44-4c65-8e3c-fd815c2d5864" ma:termSetId="d47234e3-d624-4433-82f8-6fd8729c03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bd51adee274905a2298f857710e2b7" ma:index="13" nillable="true" ma:displayName="anWorkstream_0" ma:hidden="true" ma:internalName="nabd51adee274905a2298f857710e2b7" ma:readOnly="false">
      <xsd:simpleType>
        <xsd:restriction base="dms:Note"/>
      </xsd:simpleType>
    </xsd:element>
    <xsd:element name="anWorkstream" ma:index="14" nillable="true" ma:displayName="Workstream" ma:default="X-Functional" ma:description="Workstreams defined at company level" ma:format="Dropdown" ma:internalName="anWorkstream" ma:readOnly="false">
      <xsd:simpleType>
        <xsd:restriction base="dms:Choice">
          <xsd:enumeration value="Commercial"/>
          <xsd:enumeration value="R&amp;D"/>
          <xsd:enumeration value="PSRA"/>
          <xsd:enumeration value="Procurement"/>
          <xsd:enumeration value="Supply Chain"/>
          <xsd:enumeration value="Mfg"/>
          <xsd:enumeration value="Finance"/>
          <xsd:enumeration value="HR"/>
          <xsd:enumeration value="Legal"/>
          <xsd:enumeration value="IT"/>
          <xsd:enumeration value="Communications"/>
          <xsd:enumeration value="X-Functional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2669-1d17-45c4-951d-56146b673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d5062b-ed78-4d8d-a262-aba3266b2a66">D434AHAW3XJR-562-40</_dlc_DocId>
    <TaxCatchAll xmlns="bdd5062b-ed78-4d8d-a262-aba3266b2a66"/>
    <nabd51adee274905a2298f857710e2b7 xmlns="bdd5062b-ed78-4d8d-a262-aba3266b2a66" xsi:nil="true"/>
    <l2af3aa2ee0e4f38b988f1c804ec00dd xmlns="bdd5062b-ed78-4d8d-a262-aba3266b2a66">
      <Terms xmlns="http://schemas.microsoft.com/office/infopath/2007/PartnerControls"/>
    </l2af3aa2ee0e4f38b988f1c804ec00dd>
    <anResilient xmlns="bdd5062b-ed78-4d8d-a262-aba3266b2a66" xsi:nil="true"/>
    <_dlc_DocIdPersistId xmlns="bdd5062b-ed78-4d8d-a262-aba3266b2a66" xsi:nil="true"/>
    <_dlc_DocIdUrl xmlns="bdd5062b-ed78-4d8d-a262-aba3266b2a66">
      <Url>http://teams.coatings.com/it/InfoSec/_layouts/DocIdRedir.aspx?ID=D434AHAW3XJR-562-40</Url>
      <Description>D434AHAW3XJR-562-40</Description>
    </_dlc_DocIdUrl>
    <anWorkstream xmlns="bdd5062b-ed78-4d8d-a262-aba3266b2a66">X-Functional</anWorkstream>
    <SharedWithUsers xmlns="bdd5062b-ed78-4d8d-a262-aba3266b2a66">
      <UserInfo>
        <DisplayName>Valerie Couturiaux</DisplayName>
        <AccountId>158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9413e9b-8b44-4c65-8e3c-fd815c2d5864" ContentTypeId="0x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B65769-0503-40CC-82A8-B36837E41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5062b-ed78-4d8d-a262-aba3266b2a66"/>
    <ds:schemaRef ds:uri="38912669-1d17-45c4-951d-56146b673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4CE2B-29FE-4153-A7C5-909383AAAA32}">
  <ds:schemaRefs>
    <ds:schemaRef ds:uri="http://schemas.microsoft.com/office/2006/documentManagement/types"/>
    <ds:schemaRef ds:uri="bdd5062b-ed78-4d8d-a262-aba3266b2a6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38912669-1d17-45c4-951d-56146b6733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B8FB2D-C5B1-4FBC-9E32-AE8B37C1B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9BF46-C813-4016-8EAA-36F2DD1C74D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03A1783-B650-40C6-88FF-8258C4266CE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92311A-8E65-42B7-B973-32458A66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2020-10-21T10:21:00Z</dcterms:created>
  <dcterms:modified xsi:type="dcterms:W3CDTF">2020-10-21T10:21:00Z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Area">
    <vt:lpwstr>1;#IT|c2d4f3ed-02e6-48ee-bb20-50b98a53809c</vt:lpwstr>
  </property>
  <property fmtid="{D5CDD505-2E9C-101B-9397-08002B2CF9AE}" pid="4" name="AuthorIds_UIVersion_3072">
    <vt:lpwstr>140</vt:lpwstr>
  </property>
  <property fmtid="{D5CDD505-2E9C-101B-9397-08002B2CF9AE}" pid="5" name="Region">
    <vt:lpwstr>2;#Global|8325f8c3-de4d-4376-9745-dadb0859d198</vt:lpwstr>
  </property>
  <property fmtid="{D5CDD505-2E9C-101B-9397-08002B2CF9AE}" pid="6" name="ContentTypeId">
    <vt:lpwstr>0x010100E5CF6D01D8FBC84CAD4CF73F4AD5B628010040216CB57DD45546BC56825960729D64</vt:lpwstr>
  </property>
  <property fmtid="{D5CDD505-2E9C-101B-9397-08002B2CF9AE}" pid="7" name="anDocumentType">
    <vt:lpwstr/>
  </property>
  <property fmtid="{D5CDD505-2E9C-101B-9397-08002B2CF9AE}" pid="8" name="_dlc_DocIdItemGuid">
    <vt:lpwstr>e84b068d-cc9c-46de-b7c6-15c176696480</vt:lpwstr>
  </property>
  <property fmtid="{D5CDD505-2E9C-101B-9397-08002B2CF9AE}" pid="9" name="DocumentType">
    <vt:lpwstr>8;#Policy|e4ba4310-0ba2-4b00-9537-02229d425f1a</vt:lpwstr>
  </property>
  <property fmtid="{D5CDD505-2E9C-101B-9397-08002B2CF9AE}" pid="10" name="AuthorIds_UIVersion_6656">
    <vt:lpwstr>140</vt:lpwstr>
  </property>
</Properties>
</file>